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51120D" w:rsidRPr="0051120D" w14:paraId="03A3B210" w14:textId="77777777" w:rsidTr="00E576B1">
        <w:trPr>
          <w:trHeight w:val="847"/>
        </w:trPr>
        <w:tc>
          <w:tcPr>
            <w:tcW w:w="10308" w:type="dxa"/>
          </w:tcPr>
          <w:p w14:paraId="4BECC99B" w14:textId="77777777" w:rsidR="00AD4383" w:rsidRPr="0051120D" w:rsidRDefault="003A4CD1" w:rsidP="00AD4383">
            <w:pPr>
              <w:spacing w:beforeLines="50" w:before="180"/>
              <w:rPr>
                <w:rFonts w:ascii="Times New Roman" w:eastAsia="標楷體" w:hAnsi="Times New Roman"/>
                <w:b/>
                <w:color w:val="000000" w:themeColor="text1"/>
                <w:sz w:val="56"/>
                <w:u w:val="single"/>
              </w:rPr>
            </w:pPr>
            <w:r w:rsidRPr="0051120D">
              <w:rPr>
                <w:rFonts w:ascii="Times New Roman" w:eastAsia="標楷體" w:hAnsi="Times New Roman"/>
                <w:b/>
                <w:noProof/>
                <w:color w:val="000000" w:themeColor="text1"/>
                <w:sz w:val="56"/>
              </w:rPr>
              <w:drawing>
                <wp:anchor distT="0" distB="0" distL="114300" distR="114300" simplePos="0" relativeHeight="251656704" behindDoc="0" locked="0" layoutInCell="1" allowOverlap="1" wp14:anchorId="308E4751" wp14:editId="5D52B289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127635</wp:posOffset>
                  </wp:positionV>
                  <wp:extent cx="508635" cy="508635"/>
                  <wp:effectExtent l="0" t="0" r="0" b="0"/>
                  <wp:wrapSquare wrapText="bothSides"/>
                  <wp:docPr id="4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383" w:rsidRPr="0051120D">
              <w:rPr>
                <w:rFonts w:ascii="Times New Roman" w:eastAsia="標楷體" w:hAnsi="Times New Roman"/>
                <w:color w:val="000000" w:themeColor="text1"/>
              </w:rPr>
              <w:br w:type="page"/>
            </w:r>
            <w:r w:rsidR="00AD4383" w:rsidRPr="0051120D">
              <w:rPr>
                <w:rFonts w:ascii="Times New Roman" w:eastAsia="標楷體" w:hAnsi="Times New Roman"/>
                <w:b/>
                <w:color w:val="000000" w:themeColor="text1"/>
                <w:sz w:val="56"/>
              </w:rPr>
              <w:t xml:space="preserve">    </w:t>
            </w:r>
            <w:r w:rsidR="00AD4383" w:rsidRPr="0051120D">
              <w:rPr>
                <w:rFonts w:ascii="Times New Roman" w:eastAsia="標楷體" w:hAnsi="Times New Roman"/>
                <w:b/>
                <w:color w:val="000000" w:themeColor="text1"/>
                <w:sz w:val="56"/>
                <w:u w:val="single"/>
              </w:rPr>
              <w:t>新聞資料</w:t>
            </w:r>
            <w:r w:rsidR="00AD4383" w:rsidRPr="0051120D">
              <w:rPr>
                <w:rFonts w:ascii="Times New Roman" w:eastAsia="標楷體" w:hAnsi="Times New Roman"/>
                <w:b/>
                <w:color w:val="000000" w:themeColor="text1"/>
                <w:sz w:val="56"/>
                <w:u w:val="single"/>
              </w:rPr>
              <w:t>NEWS LETTER</w:t>
            </w:r>
          </w:p>
          <w:p w14:paraId="61160120" w14:textId="77777777" w:rsidR="00C60F0B" w:rsidRPr="0051120D" w:rsidRDefault="0078021D" w:rsidP="009C796E">
            <w:pPr>
              <w:jc w:val="center"/>
              <w:rPr>
                <w:rFonts w:ascii="Times New Roman" w:eastAsia="標楷體" w:hAnsi="Times New Roman"/>
                <w:b/>
                <w:noProof/>
                <w:color w:val="000000" w:themeColor="text1"/>
                <w:sz w:val="44"/>
                <w:szCs w:val="44"/>
              </w:rPr>
            </w:pPr>
            <w:r w:rsidRPr="0051120D">
              <w:rPr>
                <w:rFonts w:ascii="Times New Roman" w:eastAsia="標楷體" w:hAnsi="Times New Roman" w:hint="eastAsia"/>
                <w:b/>
                <w:noProof/>
                <w:color w:val="000000" w:themeColor="text1"/>
                <w:sz w:val="44"/>
                <w:szCs w:val="44"/>
              </w:rPr>
              <w:t>淨零轉型加速！金屬中心攜手中華電信</w:t>
            </w:r>
          </w:p>
          <w:p w14:paraId="573EA041" w14:textId="24360AC8" w:rsidR="0078021D" w:rsidRPr="0051120D" w:rsidRDefault="0078021D" w:rsidP="00C60F0B">
            <w:pPr>
              <w:jc w:val="center"/>
              <w:rPr>
                <w:rFonts w:ascii="Times New Roman" w:eastAsia="標楷體" w:hAnsi="Times New Roman"/>
                <w:b/>
                <w:noProof/>
                <w:color w:val="000000" w:themeColor="text1"/>
                <w:sz w:val="44"/>
                <w:szCs w:val="44"/>
              </w:rPr>
            </w:pPr>
            <w:r w:rsidRPr="0051120D">
              <w:rPr>
                <w:rFonts w:ascii="Times New Roman" w:eastAsia="標楷體" w:hAnsi="Times New Roman" w:hint="eastAsia"/>
                <w:b/>
                <w:noProof/>
                <w:color w:val="000000" w:themeColor="text1"/>
                <w:sz w:val="44"/>
                <w:szCs w:val="44"/>
              </w:rPr>
              <w:t>引領國內產業邁向</w:t>
            </w:r>
            <w:r w:rsidRPr="0051120D">
              <w:rPr>
                <w:rFonts w:ascii="Times New Roman" w:eastAsia="標楷體" w:hAnsi="Times New Roman" w:hint="eastAsia"/>
                <w:b/>
                <w:noProof/>
                <w:color w:val="000000" w:themeColor="text1"/>
                <w:sz w:val="44"/>
                <w:szCs w:val="44"/>
              </w:rPr>
              <w:t>2050</w:t>
            </w:r>
            <w:r w:rsidRPr="0051120D">
              <w:rPr>
                <w:rFonts w:ascii="Times New Roman" w:eastAsia="標楷體" w:hAnsi="Times New Roman" w:hint="eastAsia"/>
                <w:b/>
                <w:noProof/>
                <w:color w:val="000000" w:themeColor="text1"/>
                <w:sz w:val="44"/>
                <w:szCs w:val="44"/>
              </w:rPr>
              <w:t>淨零排放</w:t>
            </w:r>
          </w:p>
          <w:p w14:paraId="353B4693" w14:textId="69B170BB" w:rsidR="003E2160" w:rsidRPr="0051120D" w:rsidRDefault="00AD4383" w:rsidP="009C796E">
            <w:pPr>
              <w:jc w:val="center"/>
              <w:rPr>
                <w:rFonts w:ascii="Times New Roman" w:eastAsia="標楷體" w:hAnsi="Times New Roman"/>
                <w:b/>
                <w:noProof/>
                <w:color w:val="000000" w:themeColor="text1"/>
                <w:sz w:val="44"/>
                <w:szCs w:val="44"/>
              </w:rPr>
            </w:pPr>
            <w:r w:rsidRPr="0051120D">
              <w:rPr>
                <w:rFonts w:ascii="Times New Roman" w:eastAsia="標楷體" w:hAnsi="Times New Roman"/>
                <w:b/>
                <w:noProof/>
                <w:color w:val="000000" w:themeColor="text1"/>
                <w:sz w:val="44"/>
                <w:szCs w:val="44"/>
              </w:rPr>
              <w:t xml:space="preserve"> </w:t>
            </w:r>
            <w:r w:rsidR="003E2160" w:rsidRPr="0051120D">
              <w:rPr>
                <w:rFonts w:ascii="Times New Roman" w:eastAsia="標楷體" w:hAnsi="Times New Roman"/>
                <w:b/>
                <w:noProof/>
                <w:color w:val="000000" w:themeColor="text1"/>
                <w:sz w:val="44"/>
                <w:szCs w:val="44"/>
              </w:rPr>
              <w:t xml:space="preserve"> </w:t>
            </w:r>
          </w:p>
          <w:p w14:paraId="682C8EA4" w14:textId="0C168A01" w:rsidR="0078021D" w:rsidRPr="0051120D" w:rsidRDefault="0078021D" w:rsidP="0078021D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因應全球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節能減碳浪潮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，政府加速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推動綠能發展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，</w:t>
            </w:r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行政院於</w:t>
            </w:r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2022</w:t>
            </w:r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年頒布「臺灣</w:t>
            </w:r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2050</w:t>
            </w:r>
            <w:proofErr w:type="gramStart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淨零排放</w:t>
            </w:r>
            <w:proofErr w:type="gramEnd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路徑及策略總說明」，預計透過「</w:t>
            </w:r>
            <w:proofErr w:type="gramStart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先大後</w:t>
            </w:r>
            <w:proofErr w:type="gramEnd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小、以大帶小」，結合產業公協會及供應鏈廠商，由國營事業以身作則的模式協助</w:t>
            </w:r>
            <w:proofErr w:type="gramStart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產業淨零轉型</w:t>
            </w:r>
            <w:proofErr w:type="gramEnd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。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為配合國家能源轉型政策，金屬中心與中華電信攜手合作，於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月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10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日假金屬中心總部簽署「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推動淨零轉型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服務合作備忘錄」</w:t>
            </w:r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，將作為「以大帶小」中的「大」，共同協助產業界</w:t>
            </w:r>
            <w:proofErr w:type="gramStart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加速淨零轉型</w:t>
            </w:r>
            <w:proofErr w:type="gramEnd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，並期待作為</w:t>
            </w:r>
            <w:proofErr w:type="gramStart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淨零跨域</w:t>
            </w:r>
            <w:proofErr w:type="gramEnd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合作的模範。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雙方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針對綠能產品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與系統之測試及驗證共同合作，提升國內產業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淨零與綠能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意識。</w:t>
            </w:r>
          </w:p>
          <w:p w14:paraId="04369A30" w14:textId="77777777" w:rsidR="0078021D" w:rsidRPr="0051120D" w:rsidRDefault="0078021D" w:rsidP="0078021D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3DC5E66D" w14:textId="03C98C2D" w:rsidR="0078021D" w:rsidRPr="0051120D" w:rsidRDefault="00060FF9" w:rsidP="0078021D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中華電信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在減碳路徑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目標上，設定</w:t>
            </w:r>
            <w:r w:rsidRPr="0051120D"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  <w:t>2030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年完成</w:t>
            </w:r>
            <w:r w:rsidRPr="0051120D"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  <w:t>IDC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機房</w:t>
            </w:r>
            <w:r w:rsidRPr="0051120D"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  <w:t>100%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使用再生能源及全面使用電動車、</w:t>
            </w:r>
            <w:r w:rsidRPr="0051120D"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  <w:t>2040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年達成完全使用再生能源</w:t>
            </w:r>
            <w:r w:rsidRPr="0051120D"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  <w:t>(RE100)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，除此之外，中華電信成為台灣唯一且超前承諾在</w:t>
            </w:r>
            <w:r w:rsidRPr="0051120D"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  <w:t>2045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年即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達成淨零目標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之電信業者。中華電信身為我國電信服務業龍頭廠商，近年積極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拓展綠能業務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，運用其實體通路與工商業客戶資源，協助產業界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邁向淨零轉型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。</w:t>
            </w:r>
            <w:r w:rsidR="00BD4C76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金屬中心</w:t>
            </w:r>
            <w:proofErr w:type="gramStart"/>
            <w:r w:rsidR="00BD4C76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在儲能自願</w:t>
            </w:r>
            <w:proofErr w:type="gramEnd"/>
            <w:r w:rsidR="00BD4C76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性產品驗證為經濟部標準檢驗局認可的非營利機構</w:t>
            </w:r>
            <w:r w:rsidR="0078021D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，有</w:t>
            </w:r>
            <w:proofErr w:type="gramStart"/>
            <w:r w:rsidR="0078021D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諸多綠能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相關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服務技術</w:t>
            </w:r>
            <w:r w:rsidR="0078021D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、系統及案場之檢測驗證及再生能源憑證查核實績，現協助營運位於苗栗銅鑼科學園區內，經濟部標準檢驗局轄下新開幕的</w:t>
            </w:r>
            <w:proofErr w:type="gramStart"/>
            <w:r w:rsidR="0078021D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國家儲能系統</w:t>
            </w:r>
            <w:proofErr w:type="gramEnd"/>
            <w:r w:rsidR="0078021D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檢測中心，能提供更完善的測試技術量能。</w:t>
            </w:r>
          </w:p>
          <w:p w14:paraId="6C25A5E8" w14:textId="77777777" w:rsidR="0078021D" w:rsidRPr="0051120D" w:rsidRDefault="0078021D" w:rsidP="0078021D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1EAD5A13" w14:textId="7F97D60B" w:rsidR="00060FF9" w:rsidRPr="0051120D" w:rsidRDefault="00060FF9" w:rsidP="0078021D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中華電信企客分公司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梁冠雄副總經理表示，此次合作是幫助我國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邁向淨零目標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的重要一步，結合中華電信的通路資源與金屬中心的驗測量能與經驗，強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強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聯手，未來將引領產業界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加速淨零轉型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7A9D4CCA" w14:textId="77777777" w:rsidR="00060FF9" w:rsidRPr="0051120D" w:rsidRDefault="00060FF9" w:rsidP="0078021D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0525F964" w14:textId="5F1B9F14" w:rsidR="00DE65EB" w:rsidRDefault="0078021D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金屬中心</w:t>
            </w:r>
            <w:proofErr w:type="gramStart"/>
            <w:r w:rsidR="00F7656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武威宏副</w:t>
            </w:r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執行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長表示，金屬中心長年經營再生能源、儲能、淨零等業務，如今加上國家儲能系統檢測中心的測試能量，可協助中華電信在達成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自身減碳目標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之餘，藉由提升產品、系統與案場品質，</w:t>
            </w:r>
            <w:proofErr w:type="gramStart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強化綠能業務</w:t>
            </w:r>
            <w:proofErr w:type="gramEnd"/>
            <w:r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發展的安全性。</w:t>
            </w:r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此次雙方合</w:t>
            </w:r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lastRenderedPageBreak/>
              <w:t>作項目主要包含「提升</w:t>
            </w:r>
            <w:proofErr w:type="gramStart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淨零與綠能</w:t>
            </w:r>
            <w:proofErr w:type="gramEnd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意識」、「</w:t>
            </w:r>
            <w:proofErr w:type="gramStart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整合淨零轉型</w:t>
            </w:r>
            <w:proofErr w:type="gramEnd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能量」及「</w:t>
            </w:r>
            <w:proofErr w:type="gramStart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開拓綠能應用</w:t>
            </w:r>
            <w:proofErr w:type="gramEnd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市場」，預計串連</w:t>
            </w:r>
            <w:proofErr w:type="gramStart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國內綠能</w:t>
            </w:r>
            <w:proofErr w:type="gramEnd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產業供應鏈，拓展再生能源及儲能應用市場，開發客戶</w:t>
            </w:r>
            <w:proofErr w:type="gramStart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建立綠能實績</w:t>
            </w:r>
            <w:proofErr w:type="gramEnd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，為我國邁向</w:t>
            </w:r>
            <w:proofErr w:type="gramStart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2050</w:t>
            </w:r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年淨零排放</w:t>
            </w:r>
            <w:proofErr w:type="gramEnd"/>
            <w:r w:rsidR="00C60F0B" w:rsidRPr="0051120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目標盡一份力。</w:t>
            </w:r>
          </w:p>
          <w:p w14:paraId="6AB18651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7ADD80C8" w14:textId="319F0DBE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027904" wp14:editId="4233C40B">
                  <wp:simplePos x="0" y="0"/>
                  <wp:positionH relativeFrom="column">
                    <wp:posOffset>774625</wp:posOffset>
                  </wp:positionH>
                  <wp:positionV relativeFrom="paragraph">
                    <wp:posOffset>244959</wp:posOffset>
                  </wp:positionV>
                  <wp:extent cx="4980305" cy="3307715"/>
                  <wp:effectExtent l="0" t="0" r="0" b="6985"/>
                  <wp:wrapTight wrapText="bothSides">
                    <wp:wrapPolygon edited="0">
                      <wp:start x="0" y="0"/>
                      <wp:lineTo x="0" y="21521"/>
                      <wp:lineTo x="21482" y="21521"/>
                      <wp:lineTo x="21482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0305" cy="330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E0F08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3E066CA2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7BB56BCD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5E35D4AE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21AC8B73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6ECD822E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18386F8E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0333133C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106ADB14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744D801E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124BD270" w14:textId="77777777" w:rsidR="00CE7309" w:rsidRDefault="00CE7309" w:rsidP="00060FF9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76F08177" w14:textId="1EDC55A7" w:rsidR="00CE7309" w:rsidRPr="0051120D" w:rsidRDefault="00CE7309" w:rsidP="00CE7309">
            <w:pPr>
              <w:tabs>
                <w:tab w:val="left" w:pos="589"/>
              </w:tabs>
              <w:spacing w:line="480" w:lineRule="exact"/>
              <w:jc w:val="center"/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圖一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、</w:t>
            </w:r>
            <w:r w:rsidRPr="00CE730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中華電信企業客戶分公司副總經理梁冠雄</w:t>
            </w:r>
            <w:r w:rsidRPr="00CE730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CE730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左</w:t>
            </w:r>
            <w:r w:rsidRPr="00CE730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  <w:r w:rsidRPr="00CE730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、金屬中心副執行長武威宏</w:t>
            </w:r>
            <w:r w:rsidRPr="00CE730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CE730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右</w:t>
            </w:r>
            <w:r w:rsidRPr="00CE730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  <w:r w:rsidRPr="00CE730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代表簽署</w:t>
            </w:r>
            <w:proofErr w:type="gramStart"/>
            <w:r w:rsidRPr="00CE730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推動淨零轉型</w:t>
            </w:r>
            <w:proofErr w:type="gramEnd"/>
            <w:r w:rsidRPr="00CE730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服務合作備忘錄</w:t>
            </w:r>
          </w:p>
        </w:tc>
      </w:tr>
    </w:tbl>
    <w:p w14:paraId="39F2BECB" w14:textId="05B1E356" w:rsidR="002F5EED" w:rsidRPr="0051120D" w:rsidRDefault="002F5EED" w:rsidP="00E47832">
      <w:pPr>
        <w:snapToGrid w:val="0"/>
        <w:spacing w:line="600" w:lineRule="exact"/>
        <w:rPr>
          <w:rFonts w:ascii="Times New Roman" w:hAnsi="Times New Roman"/>
          <w:color w:val="000000" w:themeColor="text1"/>
        </w:rPr>
      </w:pPr>
    </w:p>
    <w:sectPr w:rsidR="002F5EED" w:rsidRPr="0051120D" w:rsidSect="00EA316B">
      <w:pgSz w:w="11906" w:h="16838"/>
      <w:pgMar w:top="680" w:right="79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710C" w14:textId="77777777" w:rsidR="00C56366" w:rsidRDefault="00C56366" w:rsidP="00C07CBF">
      <w:r>
        <w:separator/>
      </w:r>
    </w:p>
  </w:endnote>
  <w:endnote w:type="continuationSeparator" w:id="0">
    <w:p w14:paraId="2CAC5A06" w14:textId="77777777" w:rsidR="00C56366" w:rsidRDefault="00C56366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B059" w14:textId="77777777" w:rsidR="00C56366" w:rsidRDefault="00C56366" w:rsidP="00C07CBF">
      <w:r>
        <w:separator/>
      </w:r>
    </w:p>
  </w:footnote>
  <w:footnote w:type="continuationSeparator" w:id="0">
    <w:p w14:paraId="7AA6CF8C" w14:textId="77777777" w:rsidR="00C56366" w:rsidRDefault="00C56366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43"/>
    <w:rsid w:val="0000352B"/>
    <w:rsid w:val="00020BC9"/>
    <w:rsid w:val="00021474"/>
    <w:rsid w:val="00025DF3"/>
    <w:rsid w:val="00026A9F"/>
    <w:rsid w:val="0003169D"/>
    <w:rsid w:val="000436C1"/>
    <w:rsid w:val="00053438"/>
    <w:rsid w:val="00053888"/>
    <w:rsid w:val="00060FF9"/>
    <w:rsid w:val="00066B0A"/>
    <w:rsid w:val="00077470"/>
    <w:rsid w:val="000A585A"/>
    <w:rsid w:val="000A6124"/>
    <w:rsid w:val="000A63B1"/>
    <w:rsid w:val="000B7739"/>
    <w:rsid w:val="000C6DC8"/>
    <w:rsid w:val="000F4B65"/>
    <w:rsid w:val="000F5F0D"/>
    <w:rsid w:val="000F63FC"/>
    <w:rsid w:val="00100543"/>
    <w:rsid w:val="00101D7E"/>
    <w:rsid w:val="00102529"/>
    <w:rsid w:val="00103412"/>
    <w:rsid w:val="00103915"/>
    <w:rsid w:val="0011101E"/>
    <w:rsid w:val="001311C9"/>
    <w:rsid w:val="001333E8"/>
    <w:rsid w:val="00134495"/>
    <w:rsid w:val="0014027A"/>
    <w:rsid w:val="00146456"/>
    <w:rsid w:val="001503F9"/>
    <w:rsid w:val="00156A34"/>
    <w:rsid w:val="001641EE"/>
    <w:rsid w:val="0016541B"/>
    <w:rsid w:val="00171F9F"/>
    <w:rsid w:val="00187017"/>
    <w:rsid w:val="00187D1E"/>
    <w:rsid w:val="00190BDC"/>
    <w:rsid w:val="00193465"/>
    <w:rsid w:val="001B3AD1"/>
    <w:rsid w:val="001C6B4E"/>
    <w:rsid w:val="001D01D9"/>
    <w:rsid w:val="001D0BF8"/>
    <w:rsid w:val="001D2169"/>
    <w:rsid w:val="001D7DC2"/>
    <w:rsid w:val="001F291D"/>
    <w:rsid w:val="001F3699"/>
    <w:rsid w:val="001F7968"/>
    <w:rsid w:val="0020097C"/>
    <w:rsid w:val="00201493"/>
    <w:rsid w:val="00205931"/>
    <w:rsid w:val="00205C30"/>
    <w:rsid w:val="00210A8C"/>
    <w:rsid w:val="00221191"/>
    <w:rsid w:val="00221D22"/>
    <w:rsid w:val="002320E0"/>
    <w:rsid w:val="00236C74"/>
    <w:rsid w:val="00281B9B"/>
    <w:rsid w:val="00282C45"/>
    <w:rsid w:val="002A09BF"/>
    <w:rsid w:val="002B03CE"/>
    <w:rsid w:val="002B12CA"/>
    <w:rsid w:val="002B4341"/>
    <w:rsid w:val="002C317E"/>
    <w:rsid w:val="002C3AF6"/>
    <w:rsid w:val="002C437C"/>
    <w:rsid w:val="002C6078"/>
    <w:rsid w:val="002C6212"/>
    <w:rsid w:val="002D46C2"/>
    <w:rsid w:val="002F00BB"/>
    <w:rsid w:val="002F5EED"/>
    <w:rsid w:val="00311D0E"/>
    <w:rsid w:val="003224C7"/>
    <w:rsid w:val="0033209B"/>
    <w:rsid w:val="0033323C"/>
    <w:rsid w:val="00334451"/>
    <w:rsid w:val="0033557F"/>
    <w:rsid w:val="00337261"/>
    <w:rsid w:val="00343583"/>
    <w:rsid w:val="003448C8"/>
    <w:rsid w:val="003459DE"/>
    <w:rsid w:val="003776A1"/>
    <w:rsid w:val="00380AA9"/>
    <w:rsid w:val="003853BB"/>
    <w:rsid w:val="00385EBB"/>
    <w:rsid w:val="00386DE5"/>
    <w:rsid w:val="003938F9"/>
    <w:rsid w:val="003A45E3"/>
    <w:rsid w:val="003A4CD1"/>
    <w:rsid w:val="003A4FCD"/>
    <w:rsid w:val="003A57E8"/>
    <w:rsid w:val="003B0AAA"/>
    <w:rsid w:val="003B1343"/>
    <w:rsid w:val="003B3A43"/>
    <w:rsid w:val="003C276A"/>
    <w:rsid w:val="003D17FB"/>
    <w:rsid w:val="003D3E0F"/>
    <w:rsid w:val="003D3FAD"/>
    <w:rsid w:val="003D4D09"/>
    <w:rsid w:val="003D5AA8"/>
    <w:rsid w:val="003E0636"/>
    <w:rsid w:val="003E1779"/>
    <w:rsid w:val="003E2160"/>
    <w:rsid w:val="003E5070"/>
    <w:rsid w:val="003F3081"/>
    <w:rsid w:val="0040031E"/>
    <w:rsid w:val="00401FA3"/>
    <w:rsid w:val="004076AE"/>
    <w:rsid w:val="00410356"/>
    <w:rsid w:val="00410D55"/>
    <w:rsid w:val="00412748"/>
    <w:rsid w:val="0044438C"/>
    <w:rsid w:val="00446960"/>
    <w:rsid w:val="00453285"/>
    <w:rsid w:val="004563FA"/>
    <w:rsid w:val="00466855"/>
    <w:rsid w:val="00487FE8"/>
    <w:rsid w:val="00492989"/>
    <w:rsid w:val="00492BD8"/>
    <w:rsid w:val="00496247"/>
    <w:rsid w:val="004A6F0C"/>
    <w:rsid w:val="004B13FF"/>
    <w:rsid w:val="004C2CAF"/>
    <w:rsid w:val="004C4984"/>
    <w:rsid w:val="004D6C82"/>
    <w:rsid w:val="004D6F33"/>
    <w:rsid w:val="004E192C"/>
    <w:rsid w:val="004E3C3B"/>
    <w:rsid w:val="004F3889"/>
    <w:rsid w:val="005019F9"/>
    <w:rsid w:val="00501A95"/>
    <w:rsid w:val="005043D7"/>
    <w:rsid w:val="0051120D"/>
    <w:rsid w:val="00527B9F"/>
    <w:rsid w:val="00533697"/>
    <w:rsid w:val="00534974"/>
    <w:rsid w:val="00552D41"/>
    <w:rsid w:val="005678C4"/>
    <w:rsid w:val="005753B5"/>
    <w:rsid w:val="00584951"/>
    <w:rsid w:val="00584D1C"/>
    <w:rsid w:val="005A2EFE"/>
    <w:rsid w:val="005A485C"/>
    <w:rsid w:val="005B1C28"/>
    <w:rsid w:val="005B1D5F"/>
    <w:rsid w:val="005B33F2"/>
    <w:rsid w:val="005B3FDD"/>
    <w:rsid w:val="005B4AB3"/>
    <w:rsid w:val="005B4CBD"/>
    <w:rsid w:val="005B5E18"/>
    <w:rsid w:val="005C1E11"/>
    <w:rsid w:val="005D05EF"/>
    <w:rsid w:val="005D1F7B"/>
    <w:rsid w:val="005D454C"/>
    <w:rsid w:val="005D79A3"/>
    <w:rsid w:val="005F3891"/>
    <w:rsid w:val="006136AF"/>
    <w:rsid w:val="0061727B"/>
    <w:rsid w:val="006376B6"/>
    <w:rsid w:val="00644309"/>
    <w:rsid w:val="00644ABA"/>
    <w:rsid w:val="00663B6C"/>
    <w:rsid w:val="0067605C"/>
    <w:rsid w:val="00681745"/>
    <w:rsid w:val="00687DD5"/>
    <w:rsid w:val="00690FB7"/>
    <w:rsid w:val="0069713E"/>
    <w:rsid w:val="006975C7"/>
    <w:rsid w:val="006A061B"/>
    <w:rsid w:val="006A60AB"/>
    <w:rsid w:val="006B5696"/>
    <w:rsid w:val="006B7AA3"/>
    <w:rsid w:val="006D0185"/>
    <w:rsid w:val="006D0295"/>
    <w:rsid w:val="006D3C59"/>
    <w:rsid w:val="006E02A5"/>
    <w:rsid w:val="006E2A81"/>
    <w:rsid w:val="006E4E17"/>
    <w:rsid w:val="006E6207"/>
    <w:rsid w:val="006E7BF9"/>
    <w:rsid w:val="006F5DC8"/>
    <w:rsid w:val="007025FD"/>
    <w:rsid w:val="00703468"/>
    <w:rsid w:val="00705310"/>
    <w:rsid w:val="00712227"/>
    <w:rsid w:val="0072528B"/>
    <w:rsid w:val="00725E92"/>
    <w:rsid w:val="0072642A"/>
    <w:rsid w:val="007308FE"/>
    <w:rsid w:val="007332CE"/>
    <w:rsid w:val="00734836"/>
    <w:rsid w:val="00735492"/>
    <w:rsid w:val="00745245"/>
    <w:rsid w:val="00747752"/>
    <w:rsid w:val="00751D67"/>
    <w:rsid w:val="00755B44"/>
    <w:rsid w:val="0076449D"/>
    <w:rsid w:val="00771B3B"/>
    <w:rsid w:val="00775C98"/>
    <w:rsid w:val="0078021D"/>
    <w:rsid w:val="00780953"/>
    <w:rsid w:val="00781C85"/>
    <w:rsid w:val="00782F89"/>
    <w:rsid w:val="00787266"/>
    <w:rsid w:val="00795A5C"/>
    <w:rsid w:val="00795E8A"/>
    <w:rsid w:val="007A1A9F"/>
    <w:rsid w:val="007A6A55"/>
    <w:rsid w:val="007A7954"/>
    <w:rsid w:val="007B0FD7"/>
    <w:rsid w:val="007B294D"/>
    <w:rsid w:val="007B3714"/>
    <w:rsid w:val="007B6176"/>
    <w:rsid w:val="007C14F1"/>
    <w:rsid w:val="007C5041"/>
    <w:rsid w:val="007D1A22"/>
    <w:rsid w:val="007D78DA"/>
    <w:rsid w:val="007E4872"/>
    <w:rsid w:val="007F3510"/>
    <w:rsid w:val="007F38CA"/>
    <w:rsid w:val="0080483B"/>
    <w:rsid w:val="00807E3B"/>
    <w:rsid w:val="00812BA2"/>
    <w:rsid w:val="008166CC"/>
    <w:rsid w:val="0082310E"/>
    <w:rsid w:val="008244AD"/>
    <w:rsid w:val="00831344"/>
    <w:rsid w:val="00846DB3"/>
    <w:rsid w:val="00857AEF"/>
    <w:rsid w:val="00860190"/>
    <w:rsid w:val="00872844"/>
    <w:rsid w:val="00873948"/>
    <w:rsid w:val="008739F6"/>
    <w:rsid w:val="00876230"/>
    <w:rsid w:val="0088237F"/>
    <w:rsid w:val="0088488C"/>
    <w:rsid w:val="00886BFE"/>
    <w:rsid w:val="008A0DA6"/>
    <w:rsid w:val="008C1B6D"/>
    <w:rsid w:val="008C32B7"/>
    <w:rsid w:val="008C497E"/>
    <w:rsid w:val="008C6867"/>
    <w:rsid w:val="008C6A62"/>
    <w:rsid w:val="008E08A3"/>
    <w:rsid w:val="008E4047"/>
    <w:rsid w:val="008E453B"/>
    <w:rsid w:val="008F12BF"/>
    <w:rsid w:val="008F31EB"/>
    <w:rsid w:val="009000FA"/>
    <w:rsid w:val="00902580"/>
    <w:rsid w:val="00902BED"/>
    <w:rsid w:val="00905A20"/>
    <w:rsid w:val="00906EE7"/>
    <w:rsid w:val="0091257E"/>
    <w:rsid w:val="00914863"/>
    <w:rsid w:val="00915907"/>
    <w:rsid w:val="00920CB9"/>
    <w:rsid w:val="009243E9"/>
    <w:rsid w:val="009276AA"/>
    <w:rsid w:val="009349D4"/>
    <w:rsid w:val="009475CB"/>
    <w:rsid w:val="009646E6"/>
    <w:rsid w:val="00964B67"/>
    <w:rsid w:val="0097687D"/>
    <w:rsid w:val="00985D34"/>
    <w:rsid w:val="00987B33"/>
    <w:rsid w:val="009A560D"/>
    <w:rsid w:val="009B6F85"/>
    <w:rsid w:val="009C6139"/>
    <w:rsid w:val="009C796E"/>
    <w:rsid w:val="009D3289"/>
    <w:rsid w:val="009D5698"/>
    <w:rsid w:val="009E70DB"/>
    <w:rsid w:val="009F7D3B"/>
    <w:rsid w:val="00A05700"/>
    <w:rsid w:val="00A104DB"/>
    <w:rsid w:val="00A10E61"/>
    <w:rsid w:val="00A162AE"/>
    <w:rsid w:val="00A259B5"/>
    <w:rsid w:val="00A333BF"/>
    <w:rsid w:val="00A36E4F"/>
    <w:rsid w:val="00A50B66"/>
    <w:rsid w:val="00A7340D"/>
    <w:rsid w:val="00A80E2D"/>
    <w:rsid w:val="00A8695E"/>
    <w:rsid w:val="00A935FF"/>
    <w:rsid w:val="00A97B01"/>
    <w:rsid w:val="00AA3A28"/>
    <w:rsid w:val="00AB13F6"/>
    <w:rsid w:val="00AB613C"/>
    <w:rsid w:val="00AD4383"/>
    <w:rsid w:val="00AE15EF"/>
    <w:rsid w:val="00AE3F9A"/>
    <w:rsid w:val="00AF5C0C"/>
    <w:rsid w:val="00B05085"/>
    <w:rsid w:val="00B2610F"/>
    <w:rsid w:val="00B26D70"/>
    <w:rsid w:val="00B3134C"/>
    <w:rsid w:val="00B513FC"/>
    <w:rsid w:val="00B537FD"/>
    <w:rsid w:val="00B5783F"/>
    <w:rsid w:val="00B661C8"/>
    <w:rsid w:val="00B67E33"/>
    <w:rsid w:val="00B70570"/>
    <w:rsid w:val="00B7650E"/>
    <w:rsid w:val="00B76B39"/>
    <w:rsid w:val="00B87AF3"/>
    <w:rsid w:val="00B90844"/>
    <w:rsid w:val="00B978A0"/>
    <w:rsid w:val="00BB573C"/>
    <w:rsid w:val="00BB6F0B"/>
    <w:rsid w:val="00BC0437"/>
    <w:rsid w:val="00BC1AF2"/>
    <w:rsid w:val="00BC3E59"/>
    <w:rsid w:val="00BC3F83"/>
    <w:rsid w:val="00BC55F3"/>
    <w:rsid w:val="00BC69A9"/>
    <w:rsid w:val="00BD4C76"/>
    <w:rsid w:val="00BE1B04"/>
    <w:rsid w:val="00BF119B"/>
    <w:rsid w:val="00C031D6"/>
    <w:rsid w:val="00C06984"/>
    <w:rsid w:val="00C07CBF"/>
    <w:rsid w:val="00C07F0C"/>
    <w:rsid w:val="00C21C87"/>
    <w:rsid w:val="00C24D41"/>
    <w:rsid w:val="00C340DA"/>
    <w:rsid w:val="00C50B2E"/>
    <w:rsid w:val="00C5393C"/>
    <w:rsid w:val="00C54B89"/>
    <w:rsid w:val="00C55EB8"/>
    <w:rsid w:val="00C56366"/>
    <w:rsid w:val="00C60831"/>
    <w:rsid w:val="00C60F0B"/>
    <w:rsid w:val="00C67F81"/>
    <w:rsid w:val="00C73D96"/>
    <w:rsid w:val="00C74580"/>
    <w:rsid w:val="00C7774E"/>
    <w:rsid w:val="00C80C28"/>
    <w:rsid w:val="00C814E5"/>
    <w:rsid w:val="00C84932"/>
    <w:rsid w:val="00C970D8"/>
    <w:rsid w:val="00CA063C"/>
    <w:rsid w:val="00CA11B1"/>
    <w:rsid w:val="00CB30D4"/>
    <w:rsid w:val="00CB523C"/>
    <w:rsid w:val="00CC1441"/>
    <w:rsid w:val="00CD0D22"/>
    <w:rsid w:val="00CD2708"/>
    <w:rsid w:val="00CD2BFE"/>
    <w:rsid w:val="00CD2D8A"/>
    <w:rsid w:val="00CD331E"/>
    <w:rsid w:val="00CD5926"/>
    <w:rsid w:val="00CD7664"/>
    <w:rsid w:val="00CE285C"/>
    <w:rsid w:val="00CE3C17"/>
    <w:rsid w:val="00CE7309"/>
    <w:rsid w:val="00CF4F24"/>
    <w:rsid w:val="00D02BF1"/>
    <w:rsid w:val="00D05661"/>
    <w:rsid w:val="00D11979"/>
    <w:rsid w:val="00D21F89"/>
    <w:rsid w:val="00D3332B"/>
    <w:rsid w:val="00D3710D"/>
    <w:rsid w:val="00D5398D"/>
    <w:rsid w:val="00D53997"/>
    <w:rsid w:val="00D7228A"/>
    <w:rsid w:val="00D72632"/>
    <w:rsid w:val="00D769C0"/>
    <w:rsid w:val="00D76E89"/>
    <w:rsid w:val="00DA394A"/>
    <w:rsid w:val="00DB3449"/>
    <w:rsid w:val="00DB4F42"/>
    <w:rsid w:val="00DC158F"/>
    <w:rsid w:val="00DC161F"/>
    <w:rsid w:val="00DC58E4"/>
    <w:rsid w:val="00DC63E6"/>
    <w:rsid w:val="00DD0DBC"/>
    <w:rsid w:val="00DD1F14"/>
    <w:rsid w:val="00DD3228"/>
    <w:rsid w:val="00DD3945"/>
    <w:rsid w:val="00DE1557"/>
    <w:rsid w:val="00DE4B94"/>
    <w:rsid w:val="00DE57F7"/>
    <w:rsid w:val="00DE65EB"/>
    <w:rsid w:val="00DF1D61"/>
    <w:rsid w:val="00DF78C1"/>
    <w:rsid w:val="00E04955"/>
    <w:rsid w:val="00E072AB"/>
    <w:rsid w:val="00E10996"/>
    <w:rsid w:val="00E1100A"/>
    <w:rsid w:val="00E11133"/>
    <w:rsid w:val="00E435B6"/>
    <w:rsid w:val="00E47832"/>
    <w:rsid w:val="00E576B1"/>
    <w:rsid w:val="00E57F3E"/>
    <w:rsid w:val="00E61DA0"/>
    <w:rsid w:val="00E76165"/>
    <w:rsid w:val="00E77341"/>
    <w:rsid w:val="00E8712C"/>
    <w:rsid w:val="00EA316B"/>
    <w:rsid w:val="00EB55FB"/>
    <w:rsid w:val="00EE0BD1"/>
    <w:rsid w:val="00EE284F"/>
    <w:rsid w:val="00EE5B9D"/>
    <w:rsid w:val="00EF038F"/>
    <w:rsid w:val="00F15804"/>
    <w:rsid w:val="00F159E5"/>
    <w:rsid w:val="00F1743E"/>
    <w:rsid w:val="00F27101"/>
    <w:rsid w:val="00F32444"/>
    <w:rsid w:val="00F4189A"/>
    <w:rsid w:val="00F41D26"/>
    <w:rsid w:val="00F4552E"/>
    <w:rsid w:val="00F45A09"/>
    <w:rsid w:val="00F46939"/>
    <w:rsid w:val="00F5067F"/>
    <w:rsid w:val="00F55C5F"/>
    <w:rsid w:val="00F60CB5"/>
    <w:rsid w:val="00F71218"/>
    <w:rsid w:val="00F727BA"/>
    <w:rsid w:val="00F76562"/>
    <w:rsid w:val="00F77859"/>
    <w:rsid w:val="00F8066F"/>
    <w:rsid w:val="00F8070C"/>
    <w:rsid w:val="00F81888"/>
    <w:rsid w:val="00F86D9B"/>
    <w:rsid w:val="00F87186"/>
    <w:rsid w:val="00F94BED"/>
    <w:rsid w:val="00FA36D0"/>
    <w:rsid w:val="00FB1572"/>
    <w:rsid w:val="00FB4CA4"/>
    <w:rsid w:val="00FC3E4F"/>
    <w:rsid w:val="00FC7527"/>
    <w:rsid w:val="00FD75AC"/>
    <w:rsid w:val="00FE050A"/>
    <w:rsid w:val="00FE7987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8305B"/>
  <w15:chartTrackingRefBased/>
  <w15:docId w15:val="{D5CC1AEA-3730-47A9-B5BF-F6AAC608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71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5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282C4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282C4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7B371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0054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A063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annotation reference"/>
    <w:uiPriority w:val="99"/>
    <w:semiHidden/>
    <w:unhideWhenUsed/>
    <w:rsid w:val="00060F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60FF9"/>
    <w:rPr>
      <w:lang w:val="x-none" w:eastAsia="x-none"/>
    </w:rPr>
  </w:style>
  <w:style w:type="character" w:customStyle="1" w:styleId="ad">
    <w:name w:val="註解文字 字元"/>
    <w:basedOn w:val="a0"/>
    <w:link w:val="ac"/>
    <w:uiPriority w:val="99"/>
    <w:semiHidden/>
    <w:rsid w:val="00060FF9"/>
    <w:rPr>
      <w:kern w:val="2"/>
      <w:sz w:val="24"/>
      <w:szCs w:val="22"/>
      <w:lang w:val="x-none" w:eastAsia="x-none"/>
    </w:rPr>
  </w:style>
  <w:style w:type="character" w:styleId="ae">
    <w:name w:val="Hyperlink"/>
    <w:basedOn w:val="a0"/>
    <w:uiPriority w:val="99"/>
    <w:unhideWhenUsed/>
    <w:rsid w:val="00060F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820</Characters>
  <Application>Microsoft Office Word</Application>
  <DocSecurity>0</DocSecurity>
  <Lines>6</Lines>
  <Paragraphs>1</Paragraphs>
  <ScaleCrop>false</ScaleCrop>
  <Company>mirdc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m001488</dc:creator>
  <cp:keywords/>
  <cp:lastModifiedBy>申凱如</cp:lastModifiedBy>
  <cp:revision>3</cp:revision>
  <cp:lastPrinted>2025-03-27T05:11:00Z</cp:lastPrinted>
  <dcterms:created xsi:type="dcterms:W3CDTF">2025-04-07T06:26:00Z</dcterms:created>
  <dcterms:modified xsi:type="dcterms:W3CDTF">2025-04-11T05:36:00Z</dcterms:modified>
</cp:coreProperties>
</file>