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3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AD4383" w:rsidRPr="00BA1DBD" w14:paraId="03A3B210" w14:textId="77777777" w:rsidTr="00446960">
        <w:trPr>
          <w:trHeight w:val="5802"/>
        </w:trPr>
        <w:tc>
          <w:tcPr>
            <w:tcW w:w="10426" w:type="dxa"/>
          </w:tcPr>
          <w:p w14:paraId="4BECC99B" w14:textId="77777777" w:rsidR="00AD4383" w:rsidRPr="00734836" w:rsidRDefault="003A4CD1" w:rsidP="00AD4383">
            <w:pPr>
              <w:spacing w:beforeLines="50" w:before="180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734836">
              <w:rPr>
                <w:rFonts w:ascii="Times New Roman" w:eastAsia="標楷體" w:hAnsi="Times New Roman"/>
                <w:b/>
                <w:noProof/>
                <w:color w:val="1F497D"/>
                <w:sz w:val="56"/>
              </w:rPr>
              <w:drawing>
                <wp:anchor distT="0" distB="0" distL="114300" distR="114300" simplePos="0" relativeHeight="251656704" behindDoc="0" locked="0" layoutInCell="1" allowOverlap="1" wp14:anchorId="308E4751" wp14:editId="5D52B289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127635</wp:posOffset>
                  </wp:positionV>
                  <wp:extent cx="508635" cy="508635"/>
                  <wp:effectExtent l="0" t="0" r="0" b="0"/>
                  <wp:wrapSquare wrapText="bothSides"/>
                  <wp:docPr id="4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4383" w:rsidRPr="00734836">
              <w:rPr>
                <w:rFonts w:ascii="Times New Roman" w:eastAsia="標楷體" w:hAnsi="Times New Roman"/>
              </w:rPr>
              <w:br w:type="page"/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</w:rPr>
              <w:t xml:space="preserve">    </w:t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 w:rsidR="00AD4383" w:rsidRPr="007348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14:paraId="353B4693" w14:textId="3E64D7C9" w:rsidR="003E2160" w:rsidRPr="00734836" w:rsidRDefault="003C276A" w:rsidP="00A13008">
            <w:pPr>
              <w:jc w:val="center"/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</w:pPr>
            <w:r w:rsidRPr="00734836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金屬中心菁</w:t>
            </w:r>
            <w:r w:rsidR="00221191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才</w:t>
            </w:r>
            <w:r w:rsidR="003A4FCD" w:rsidRPr="00964B67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永續</w:t>
            </w:r>
            <w:r w:rsidRPr="00734836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 xml:space="preserve"> </w:t>
            </w:r>
            <w:r w:rsidRPr="00734836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技術</w:t>
            </w:r>
            <w:r w:rsidR="009D5698" w:rsidRPr="009D5698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創新</w:t>
            </w:r>
            <w:r w:rsidR="00221191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龍</w:t>
            </w:r>
            <w:r w:rsidR="00FE7987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耀</w:t>
            </w:r>
            <w:r w:rsidRPr="00734836">
              <w:rPr>
                <w:rFonts w:ascii="Times New Roman" w:eastAsia="標楷體" w:hAnsi="Times New Roman" w:hint="eastAsia"/>
                <w:b/>
                <w:noProof/>
                <w:sz w:val="44"/>
                <w:szCs w:val="44"/>
              </w:rPr>
              <w:t>國際</w:t>
            </w:r>
            <w:r w:rsidR="002C6212" w:rsidRPr="00734836">
              <w:rPr>
                <w:rFonts w:ascii="Times New Roman" w:eastAsia="標楷體" w:hAnsi="Times New Roman"/>
                <w:b/>
                <w:noProof/>
                <w:sz w:val="44"/>
                <w:szCs w:val="44"/>
              </w:rPr>
              <w:t xml:space="preserve"> </w:t>
            </w:r>
          </w:p>
          <w:p w14:paraId="6DFA6D80" w14:textId="1CDD3686" w:rsidR="005B33F2" w:rsidRPr="00AF0D32" w:rsidRDefault="00C814E5" w:rsidP="00D02BF1">
            <w:pPr>
              <w:tabs>
                <w:tab w:val="left" w:pos="589"/>
              </w:tabs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金屬中心「</w:t>
            </w:r>
            <w:proofErr w:type="gramStart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菁才獎</w:t>
            </w:r>
            <w:proofErr w:type="gramEnd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」是一年一度的盛事，旨在表揚</w:t>
            </w:r>
            <w:r w:rsidR="00193465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中心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於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技術深化和產業推廣方面做出卓越貢獻的優秀人才和團隊。</w:t>
            </w:r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近期，「</w:t>
            </w:r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2023</w:t>
            </w:r>
            <w:proofErr w:type="gramStart"/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菁才獎</w:t>
            </w:r>
            <w:proofErr w:type="gramEnd"/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」得獎名單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已</w:t>
            </w:r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出爐，共有</w:t>
            </w:r>
            <w:r w:rsidR="00343583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="00343583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位優秀同仁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與</w:t>
            </w:r>
            <w:r w:rsidR="00343583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7</w:t>
            </w:r>
            <w:r w:rsidR="00343583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組傑出團隊</w:t>
            </w:r>
            <w:r w:rsidR="0022119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榮獲殊榮。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「</w:t>
            </w:r>
            <w:proofErr w:type="gramStart"/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菁</w:t>
            </w:r>
            <w:proofErr w:type="gramEnd"/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」英塑造金屬中心形象的品牌，人「才」決定金屬中心發展的未來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金屬中心透過年度選拔各領域的</w:t>
            </w:r>
            <w:proofErr w:type="gramStart"/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菁</w:t>
            </w:r>
            <w:proofErr w:type="gramEnd"/>
            <w:r w:rsidR="00FE798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才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典範，展現中心處處以人為本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研發核心能量，延續著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以往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的精神，藉由選拔、分享及經驗的傳承，表揚包含技術成就獎、產業領航獎、傑出服務獎等多個領域之</w:t>
            </w:r>
            <w:r w:rsidR="00343583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優秀同仁及傑出</w:t>
            </w:r>
            <w:r w:rsidR="005B33F2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團隊。</w:t>
            </w:r>
          </w:p>
          <w:p w14:paraId="3B47A862" w14:textId="77777777" w:rsidR="001641EE" w:rsidRPr="00AF0D32" w:rsidRDefault="001641EE" w:rsidP="003C276A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242068DE" w14:textId="64849AB7" w:rsidR="00A05700" w:rsidRPr="00AF0D32" w:rsidRDefault="00964B67" w:rsidP="00385EB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bookmarkStart w:id="0" w:name="_Hlk164177697"/>
            <w:bookmarkStart w:id="1" w:name="_Hlk163571638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在</w:t>
            </w:r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個人獎方面，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由於</w:t>
            </w:r>
            <w:proofErr w:type="gramStart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淨零碳排</w:t>
            </w:r>
            <w:proofErr w:type="gramEnd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議題已成全球趨勢</w:t>
            </w:r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科技女傑獎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獲獎</w:t>
            </w:r>
            <w:r w:rsidR="00F964DD">
              <w:rPr>
                <w:rFonts w:ascii="Times New Roman" w:eastAsia="標楷體" w:hAnsi="Times New Roman" w:hint="eastAsia"/>
                <w:sz w:val="28"/>
                <w:szCs w:val="28"/>
              </w:rPr>
              <w:t>之</w:t>
            </w:r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創新處同仁帶領金屬中心溫室氣體團隊成立查驗證機構，並通過</w:t>
            </w:r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TAF</w:t>
            </w:r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認證，同時突破產業門檻通過環境部查驗機構、金管會確信機構，成為標檢局查證量能小組之領頭羊。近年更持續擴大查證領域，不僅針對金屬產業，亦針對文化產業、醫療產業、上市櫃公司、及其他產業全面提供溫室氣體查證及碳足跡查證服務，提供產業溫室氣體減量契機，以達企業</w:t>
            </w:r>
            <w:proofErr w:type="gramStart"/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淨零減碳</w:t>
            </w:r>
            <w:proofErr w:type="gramEnd"/>
            <w:r w:rsidR="00A162A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目標</w:t>
            </w:r>
            <w:r w:rsidR="003A57E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。</w:t>
            </w:r>
            <w:bookmarkEnd w:id="0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產業服務菁英獎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獲獎</w:t>
            </w:r>
            <w:proofErr w:type="gramStart"/>
            <w:r w:rsidR="00F964DD">
              <w:rPr>
                <w:rFonts w:ascii="Times New Roman" w:eastAsia="標楷體" w:hAnsi="Times New Roman" w:hint="eastAsia"/>
                <w:sz w:val="28"/>
                <w:szCs w:val="28"/>
              </w:rPr>
              <w:t>之智發處</w:t>
            </w:r>
            <w:proofErr w:type="gramEnd"/>
            <w:r w:rsidR="00F964DD">
              <w:rPr>
                <w:rFonts w:ascii="Times New Roman" w:eastAsia="標楷體" w:hAnsi="Times New Roman" w:hint="eastAsia"/>
                <w:sz w:val="28"/>
                <w:szCs w:val="28"/>
              </w:rPr>
              <w:t>同仁</w:t>
            </w:r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藉由戶外</w:t>
            </w:r>
            <w:proofErr w:type="gramStart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電池儲能系統</w:t>
            </w:r>
            <w:proofErr w:type="gramEnd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案場驗證，建立團隊執行逾</w:t>
            </w:r>
            <w:proofErr w:type="gramStart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40</w:t>
            </w:r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件儲能系統案場健檢</w:t>
            </w:r>
            <w:proofErr w:type="gramEnd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檢測、驗證、鑑別風險</w:t>
            </w:r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，確認</w:t>
            </w:r>
            <w:proofErr w:type="gramStart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儲能案</w:t>
            </w:r>
            <w:proofErr w:type="gramEnd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場系統能符合標準基本要求，降低風險提升系統安全，協助國內</w:t>
            </w:r>
            <w:proofErr w:type="gramStart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健全綠能</w:t>
            </w:r>
            <w:proofErr w:type="gramEnd"/>
            <w:r w:rsidR="00385E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與電力調度。</w:t>
            </w:r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金屬中心將繼續跟隨政府</w:t>
            </w:r>
            <w:proofErr w:type="gramStart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淨零碳排</w:t>
            </w:r>
            <w:proofErr w:type="gramEnd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腳步，為產業提供更廣泛的查證、</w:t>
            </w:r>
            <w:proofErr w:type="gramStart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減碳服務</w:t>
            </w:r>
            <w:proofErr w:type="gramEnd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，助力</w:t>
            </w:r>
            <w:r w:rsidR="00D769C0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企</w:t>
            </w:r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業跟上</w:t>
            </w:r>
            <w:proofErr w:type="gramStart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國際減碳趨勢</w:t>
            </w:r>
            <w:proofErr w:type="gramEnd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，引領產業</w:t>
            </w:r>
            <w:proofErr w:type="gramStart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邁向更</w:t>
            </w:r>
            <w:r w:rsidR="003A4FCD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永續</w:t>
            </w:r>
            <w:proofErr w:type="gramEnd"/>
            <w:r w:rsidR="00F727BA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的未來！</w:t>
            </w:r>
          </w:p>
          <w:p w14:paraId="76D70D09" w14:textId="77777777" w:rsidR="00385EBB" w:rsidRPr="00AF0D32" w:rsidRDefault="00385EBB" w:rsidP="00385EB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3C60B962" w14:textId="6F3AF9F4" w:rsidR="003853BB" w:rsidRPr="00AF0D32" w:rsidRDefault="00D3332B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團體獎方面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智慧暨系統研發服務處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研發之「電極智慧化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3D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變曲率電化學加工系統」</w:t>
            </w:r>
            <w:r w:rsidR="0069713E" w:rsidRPr="00AF0D32">
              <w:rPr>
                <w:rFonts w:ascii="Times New Roman" w:eastAsia="標楷體" w:hAnsi="Times New Roman" w:hint="eastAsia"/>
                <w:strike/>
                <w:sz w:val="28"/>
                <w:szCs w:val="28"/>
              </w:rPr>
              <w:t>，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成為</w:t>
            </w:r>
            <w:r w:rsidR="00380AA9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國內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首款</w:t>
            </w:r>
            <w:proofErr w:type="gramStart"/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封閉式輪葉電化學</w:t>
            </w:r>
            <w:proofErr w:type="gramEnd"/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加工設備</w:t>
            </w:r>
            <w:r w:rsidR="009D5698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該系統已成功應用於美國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GE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多款發動機</w:t>
            </w:r>
            <w:proofErr w:type="gramStart"/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輪葉粗</w:t>
            </w:r>
            <w:proofErr w:type="gramEnd"/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加工製程以及國內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航太大廠之產線，並獲得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2023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年全球百大科技研發獎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(R&amp;D 100 Awards)</w:t>
            </w:r>
            <w:r w:rsidR="0069713E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的殊榮；</w:t>
            </w:r>
            <w:bookmarkEnd w:id="1"/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製程研發處所</w:t>
            </w:r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開發之</w:t>
            </w:r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「</w:t>
            </w:r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4D(3D+</w:t>
            </w:r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異質</w:t>
            </w:r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proofErr w:type="gramStart"/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固相式積</w:t>
            </w:r>
            <w:proofErr w:type="gramEnd"/>
            <w:r w:rsidR="00F15804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層製造</w:t>
            </w:r>
            <w:r w:rsidR="001311C9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」</w:t>
            </w:r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為國內</w:t>
            </w:r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首創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</w:t>
            </w:r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3D</w:t>
            </w:r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曲面</w:t>
            </w:r>
            <w:proofErr w:type="gramStart"/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銲</w:t>
            </w:r>
            <w:proofErr w:type="gramEnd"/>
            <w:r w:rsidR="00734836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接技術，</w:t>
            </w:r>
            <w:r w:rsidR="00FE798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創新採用</w:t>
            </w:r>
            <w:proofErr w:type="gramStart"/>
            <w:r w:rsidR="00FE798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固相式</w:t>
            </w:r>
            <w:proofErr w:type="gramEnd"/>
            <w:r w:rsidR="00FE798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(solid state)</w:t>
            </w:r>
            <w:r w:rsidR="00FE798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的積層製造工法，進行異質材料接合，</w:t>
            </w:r>
            <w:r w:rsidR="00964B6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同時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降低</w:t>
            </w:r>
            <w:proofErr w:type="gramStart"/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銲</w:t>
            </w:r>
            <w:proofErr w:type="gramEnd"/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接過程產生的碳排放達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40%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，提供低成本、</w:t>
            </w:r>
            <w:proofErr w:type="gramStart"/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低碳排</w:t>
            </w:r>
            <w:proofErr w:type="gramEnd"/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，並同時滿足多種特性的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3D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金屬製程。該技術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獲得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國內外高達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24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項的專利，並榮獲於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2022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R&amp;D 100 Awards</w:t>
            </w:r>
            <w:r w:rsidR="005043D7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與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2023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proofErr w:type="gramStart"/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愛迪生獎銅獎</w:t>
            </w:r>
            <w:proofErr w:type="gramEnd"/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等殊榮。</w:t>
            </w:r>
          </w:p>
          <w:p w14:paraId="2F5EDC01" w14:textId="77777777" w:rsidR="003853BB" w:rsidRPr="00AF0D32" w:rsidRDefault="003853BB" w:rsidP="003853BB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  <w:p w14:paraId="611D84D9" w14:textId="6351F525" w:rsidR="00872844" w:rsidRDefault="003D3E0F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lastRenderedPageBreak/>
              <w:t>2023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年，金屬中心迎來榮耀的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60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週年紀念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，</w:t>
            </w:r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標誌著</w:t>
            </w:r>
            <w:proofErr w:type="gramStart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proofErr w:type="gramEnd"/>
            <w:r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甲子以來的卓越成就。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過去的六十年，中心在科技創新和產業推動方面持續取得國內外令人矚目的成就，</w:t>
            </w:r>
            <w:r w:rsidR="00380AA9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執行長賴永祥</w:t>
            </w:r>
            <w:r w:rsidR="00D02BF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肯定每位得獎同仁及團隊的奉獻努力，並勉勵同仁持續研發創新，成為各產業領域的幕後英雄，於國際舞台發光發熱。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創新以人為本，未來</w:t>
            </w:r>
            <w:r w:rsidR="00D02BF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金屬中心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將持續以「創新、永續、國際化」為整體發展目標，讓中心的創新能量與潛力被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世界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看見與認同，開創金屬中心</w:t>
            </w:r>
            <w:proofErr w:type="gramStart"/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菁</w:t>
            </w:r>
            <w:proofErr w:type="gramEnd"/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才可期</w:t>
            </w:r>
            <w:r w:rsidR="003853BB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的</w:t>
            </w:r>
            <w:r w:rsidR="00C60831" w:rsidRPr="00AF0D32">
              <w:rPr>
                <w:rFonts w:ascii="Times New Roman" w:eastAsia="標楷體" w:hAnsi="Times New Roman" w:hint="eastAsia"/>
                <w:sz w:val="28"/>
                <w:szCs w:val="28"/>
              </w:rPr>
              <w:t>新未來。</w:t>
            </w:r>
          </w:p>
          <w:p w14:paraId="4021C088" w14:textId="5A3672F1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1EBE527" wp14:editId="5EB82328">
                  <wp:simplePos x="0" y="0"/>
                  <wp:positionH relativeFrom="column">
                    <wp:posOffset>1194805</wp:posOffset>
                  </wp:positionH>
                  <wp:positionV relativeFrom="paragraph">
                    <wp:posOffset>173775</wp:posOffset>
                  </wp:positionV>
                  <wp:extent cx="4309745" cy="2872740"/>
                  <wp:effectExtent l="0" t="0" r="0" b="3810"/>
                  <wp:wrapTight wrapText="bothSides">
                    <wp:wrapPolygon edited="0">
                      <wp:start x="0" y="0"/>
                      <wp:lineTo x="0" y="21485"/>
                      <wp:lineTo x="21482" y="21485"/>
                      <wp:lineTo x="21482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9745" cy="287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80ADAD" w14:textId="56BAFB3D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789D2B73" w14:textId="7C8872FE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42F3227B" w14:textId="78CF827A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0BD141F7" w14:textId="236A8037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1F1EB7DF" w14:textId="7EFE534E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78E91DF1" w14:textId="7AD73DC3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7030A958" w14:textId="72FBA1A6" w:rsidR="001518DD" w:rsidRDefault="001518DD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35739866" w14:textId="3DB712A9" w:rsidR="00A1727E" w:rsidRDefault="00A1727E" w:rsidP="00D02BF1">
            <w:pPr>
              <w:spacing w:line="48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0BD37BA8" w14:textId="77777777" w:rsidR="00A13008" w:rsidRDefault="00A13008" w:rsidP="00D02BF1">
            <w:pPr>
              <w:spacing w:line="480" w:lineRule="exact"/>
              <w:jc w:val="both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</w:p>
          <w:p w14:paraId="38D0689C" w14:textId="085FBD93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圖一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、</w:t>
            </w:r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金屬中心「</w:t>
            </w:r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2023</w:t>
            </w:r>
            <w:proofErr w:type="gramStart"/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菁才獎</w:t>
            </w:r>
            <w:proofErr w:type="gramEnd"/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」團體獎合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影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前排左五起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:</w:t>
            </w:r>
            <w:r w:rsidRPr="001518DD">
              <w:rPr>
                <w:rFonts w:ascii="Times New Roman" w:eastAsia="標楷體" w:hAnsi="Times New Roman" w:hint="eastAsia"/>
                <w:sz w:val="28"/>
                <w:szCs w:val="28"/>
              </w:rPr>
              <w:t>金屬中心執行長賴永祥、團體獎主審經濟部次長林全能、台大電機特聘教授羅仁權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6968E096" w14:textId="69B245F0" w:rsidR="001518DD" w:rsidRDefault="00A1727E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999576C" wp14:editId="17E769FB">
                  <wp:simplePos x="0" y="0"/>
                  <wp:positionH relativeFrom="column">
                    <wp:posOffset>1254720</wp:posOffset>
                  </wp:positionH>
                  <wp:positionV relativeFrom="paragraph">
                    <wp:posOffset>159170</wp:posOffset>
                  </wp:positionV>
                  <wp:extent cx="4278630" cy="2851150"/>
                  <wp:effectExtent l="0" t="0" r="7620" b="6350"/>
                  <wp:wrapTight wrapText="bothSides">
                    <wp:wrapPolygon edited="0">
                      <wp:start x="0" y="0"/>
                      <wp:lineTo x="0" y="21504"/>
                      <wp:lineTo x="21542" y="21504"/>
                      <wp:lineTo x="21542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8630" cy="285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C55409" w14:textId="7407C8E1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40EDD8DB" w14:textId="23386809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7BE1A205" w14:textId="77777777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2D91231F" w14:textId="0C217314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10821E1E" w14:textId="77777777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665249D4" w14:textId="01D94220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2B90299B" w14:textId="77777777" w:rsidR="001518DD" w:rsidRDefault="001518DD" w:rsidP="001518DD">
            <w:pPr>
              <w:spacing w:line="480" w:lineRule="exact"/>
              <w:jc w:val="center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19E106E1" w14:textId="14E09564" w:rsidR="00A1727E" w:rsidRDefault="00A1727E" w:rsidP="00A1727E">
            <w:pPr>
              <w:spacing w:line="480" w:lineRule="exact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</w:p>
          <w:p w14:paraId="06CFD8E6" w14:textId="77777777" w:rsidR="00A13008" w:rsidRPr="00A13008" w:rsidRDefault="00A13008" w:rsidP="00A1727E">
            <w:pPr>
              <w:spacing w:line="480" w:lineRule="exact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</w:p>
          <w:p w14:paraId="76F08177" w14:textId="19E9E322" w:rsidR="001518DD" w:rsidRPr="001518DD" w:rsidRDefault="00A1727E" w:rsidP="00A1727E">
            <w:pPr>
              <w:spacing w:line="480" w:lineRule="exact"/>
              <w:jc w:val="center"/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</w:pP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圖二、金屬中心「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2023</w:t>
            </w:r>
            <w:proofErr w:type="gramStart"/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菁才獎</w:t>
            </w:r>
            <w:proofErr w:type="gramEnd"/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」個人獎合影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 xml:space="preserve"> (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前排左五起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: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金屬中心執行長賴永祥、經濟部次長林全能、個人獎主審台大電機特聘教授羅仁權</w:t>
            </w:r>
            <w:r w:rsidRPr="00A1727E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)</w:t>
            </w:r>
          </w:p>
        </w:tc>
      </w:tr>
    </w:tbl>
    <w:p w14:paraId="39F2BECB" w14:textId="77777777" w:rsidR="002F5EED" w:rsidRPr="00A1727E" w:rsidRDefault="002F5EED" w:rsidP="00E47832">
      <w:pPr>
        <w:snapToGrid w:val="0"/>
        <w:spacing w:line="600" w:lineRule="exact"/>
        <w:rPr>
          <w:rFonts w:ascii="Times New Roman" w:hAnsi="Times New Roman" w:hint="eastAsia"/>
        </w:rPr>
      </w:pPr>
    </w:p>
    <w:sectPr w:rsidR="002F5EED" w:rsidRPr="00A1727E" w:rsidSect="00EA316B">
      <w:pgSz w:w="11906" w:h="16838"/>
      <w:pgMar w:top="680" w:right="794" w:bottom="680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9276" w14:textId="77777777" w:rsidR="009D0CCC" w:rsidRDefault="009D0CCC" w:rsidP="00C07CBF">
      <w:r>
        <w:separator/>
      </w:r>
    </w:p>
  </w:endnote>
  <w:endnote w:type="continuationSeparator" w:id="0">
    <w:p w14:paraId="5C3053CC" w14:textId="77777777" w:rsidR="009D0CCC" w:rsidRDefault="009D0CCC" w:rsidP="00C0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C55CA" w14:textId="77777777" w:rsidR="009D0CCC" w:rsidRDefault="009D0CCC" w:rsidP="00C07CBF">
      <w:r>
        <w:separator/>
      </w:r>
    </w:p>
  </w:footnote>
  <w:footnote w:type="continuationSeparator" w:id="0">
    <w:p w14:paraId="751A50E2" w14:textId="77777777" w:rsidR="009D0CCC" w:rsidRDefault="009D0CCC" w:rsidP="00C07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3AAE"/>
    <w:multiLevelType w:val="hybridMultilevel"/>
    <w:tmpl w:val="9A0658E6"/>
    <w:lvl w:ilvl="0" w:tplc="E27C5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A41C9A"/>
    <w:multiLevelType w:val="hybridMultilevel"/>
    <w:tmpl w:val="674C5B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16789"/>
    <w:multiLevelType w:val="hybridMultilevel"/>
    <w:tmpl w:val="1D7C627E"/>
    <w:lvl w:ilvl="0" w:tplc="62001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F1400D"/>
    <w:multiLevelType w:val="hybridMultilevel"/>
    <w:tmpl w:val="237C943E"/>
    <w:lvl w:ilvl="0" w:tplc="F13295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070A56"/>
    <w:multiLevelType w:val="hybridMultilevel"/>
    <w:tmpl w:val="995857C6"/>
    <w:lvl w:ilvl="0" w:tplc="3D266C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0A40A2D"/>
    <w:multiLevelType w:val="hybridMultilevel"/>
    <w:tmpl w:val="3BEADB28"/>
    <w:lvl w:ilvl="0" w:tplc="74F09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671E3A"/>
    <w:multiLevelType w:val="hybridMultilevel"/>
    <w:tmpl w:val="3BD4C0CC"/>
    <w:lvl w:ilvl="0" w:tplc="E646A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4FA94987"/>
    <w:multiLevelType w:val="hybridMultilevel"/>
    <w:tmpl w:val="59AC6DB6"/>
    <w:lvl w:ilvl="0" w:tplc="CC183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7006682"/>
    <w:multiLevelType w:val="hybridMultilevel"/>
    <w:tmpl w:val="F9EC83E6"/>
    <w:lvl w:ilvl="0" w:tplc="8FB6C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B0B22"/>
    <w:multiLevelType w:val="hybridMultilevel"/>
    <w:tmpl w:val="5862249E"/>
    <w:lvl w:ilvl="0" w:tplc="6AC447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26B6959"/>
    <w:multiLevelType w:val="hybridMultilevel"/>
    <w:tmpl w:val="78E68376"/>
    <w:lvl w:ilvl="0" w:tplc="7CEE4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737E6F7F"/>
    <w:multiLevelType w:val="hybridMultilevel"/>
    <w:tmpl w:val="0FDE2902"/>
    <w:lvl w:ilvl="0" w:tplc="E3D4F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43"/>
    <w:rsid w:val="0000352B"/>
    <w:rsid w:val="00020BC9"/>
    <w:rsid w:val="00025DF3"/>
    <w:rsid w:val="00026A9F"/>
    <w:rsid w:val="0003169D"/>
    <w:rsid w:val="000436C1"/>
    <w:rsid w:val="00053888"/>
    <w:rsid w:val="00066B0A"/>
    <w:rsid w:val="000A585A"/>
    <w:rsid w:val="000A6124"/>
    <w:rsid w:val="000A63B1"/>
    <w:rsid w:val="000C6DC8"/>
    <w:rsid w:val="000F4B65"/>
    <w:rsid w:val="000F5F0D"/>
    <w:rsid w:val="000F63FC"/>
    <w:rsid w:val="00101D7E"/>
    <w:rsid w:val="00103412"/>
    <w:rsid w:val="00103915"/>
    <w:rsid w:val="001311C9"/>
    <w:rsid w:val="001333E8"/>
    <w:rsid w:val="00146456"/>
    <w:rsid w:val="001503F9"/>
    <w:rsid w:val="001518DD"/>
    <w:rsid w:val="00156A34"/>
    <w:rsid w:val="001641EE"/>
    <w:rsid w:val="0016541B"/>
    <w:rsid w:val="00171F9F"/>
    <w:rsid w:val="00187017"/>
    <w:rsid w:val="00193465"/>
    <w:rsid w:val="001C6B4E"/>
    <w:rsid w:val="001D01D9"/>
    <w:rsid w:val="001D7DC2"/>
    <w:rsid w:val="001F7968"/>
    <w:rsid w:val="0020097C"/>
    <w:rsid w:val="00201493"/>
    <w:rsid w:val="00205931"/>
    <w:rsid w:val="00205C30"/>
    <w:rsid w:val="00221191"/>
    <w:rsid w:val="00221D22"/>
    <w:rsid w:val="002320E0"/>
    <w:rsid w:val="00236C74"/>
    <w:rsid w:val="00281B9B"/>
    <w:rsid w:val="00282C25"/>
    <w:rsid w:val="00282C45"/>
    <w:rsid w:val="002B12CA"/>
    <w:rsid w:val="002B4341"/>
    <w:rsid w:val="002C3AF6"/>
    <w:rsid w:val="002C437C"/>
    <w:rsid w:val="002C6078"/>
    <w:rsid w:val="002C6212"/>
    <w:rsid w:val="002F5EED"/>
    <w:rsid w:val="003224C7"/>
    <w:rsid w:val="0033209B"/>
    <w:rsid w:val="0033323C"/>
    <w:rsid w:val="0033557F"/>
    <w:rsid w:val="00337261"/>
    <w:rsid w:val="00343583"/>
    <w:rsid w:val="003448C8"/>
    <w:rsid w:val="003459DE"/>
    <w:rsid w:val="00380AA9"/>
    <w:rsid w:val="003853BB"/>
    <w:rsid w:val="00385EBB"/>
    <w:rsid w:val="003938F9"/>
    <w:rsid w:val="003A45E3"/>
    <w:rsid w:val="003A4CD1"/>
    <w:rsid w:val="003A4FCD"/>
    <w:rsid w:val="003A57E8"/>
    <w:rsid w:val="003B1343"/>
    <w:rsid w:val="003B3A43"/>
    <w:rsid w:val="003C276A"/>
    <w:rsid w:val="003D17FB"/>
    <w:rsid w:val="003D1AA9"/>
    <w:rsid w:val="003D3E0F"/>
    <w:rsid w:val="003D5AA8"/>
    <w:rsid w:val="003E0636"/>
    <w:rsid w:val="003E2160"/>
    <w:rsid w:val="003F3081"/>
    <w:rsid w:val="0040031E"/>
    <w:rsid w:val="00401FA3"/>
    <w:rsid w:val="004076AE"/>
    <w:rsid w:val="00410356"/>
    <w:rsid w:val="0044438C"/>
    <w:rsid w:val="00446960"/>
    <w:rsid w:val="00453285"/>
    <w:rsid w:val="004563FA"/>
    <w:rsid w:val="00487FE8"/>
    <w:rsid w:val="00492989"/>
    <w:rsid w:val="00492BD8"/>
    <w:rsid w:val="004A6F0C"/>
    <w:rsid w:val="004B13FF"/>
    <w:rsid w:val="004C2CAF"/>
    <w:rsid w:val="004D6C82"/>
    <w:rsid w:val="004D6F33"/>
    <w:rsid w:val="004E192C"/>
    <w:rsid w:val="004E3C3B"/>
    <w:rsid w:val="004F3889"/>
    <w:rsid w:val="005043D7"/>
    <w:rsid w:val="00534974"/>
    <w:rsid w:val="00552D41"/>
    <w:rsid w:val="005678C4"/>
    <w:rsid w:val="005A2EFE"/>
    <w:rsid w:val="005A485C"/>
    <w:rsid w:val="005B33F2"/>
    <w:rsid w:val="005B3FDD"/>
    <w:rsid w:val="005B4AB3"/>
    <w:rsid w:val="005B5E18"/>
    <w:rsid w:val="005D05EF"/>
    <w:rsid w:val="005D1F7B"/>
    <w:rsid w:val="005D454C"/>
    <w:rsid w:val="005F3891"/>
    <w:rsid w:val="006136AF"/>
    <w:rsid w:val="0061727B"/>
    <w:rsid w:val="006376B6"/>
    <w:rsid w:val="00644309"/>
    <w:rsid w:val="00644ABA"/>
    <w:rsid w:val="006528A2"/>
    <w:rsid w:val="00663B6C"/>
    <w:rsid w:val="00681745"/>
    <w:rsid w:val="00687DD5"/>
    <w:rsid w:val="00690FB7"/>
    <w:rsid w:val="0069713E"/>
    <w:rsid w:val="006975C7"/>
    <w:rsid w:val="006B5696"/>
    <w:rsid w:val="006D0185"/>
    <w:rsid w:val="006E02A5"/>
    <w:rsid w:val="006E2A81"/>
    <w:rsid w:val="006E6207"/>
    <w:rsid w:val="006F5DC8"/>
    <w:rsid w:val="007025FD"/>
    <w:rsid w:val="00705310"/>
    <w:rsid w:val="00712227"/>
    <w:rsid w:val="0072528B"/>
    <w:rsid w:val="00725E92"/>
    <w:rsid w:val="0072642A"/>
    <w:rsid w:val="007308FE"/>
    <w:rsid w:val="007332CE"/>
    <w:rsid w:val="00734836"/>
    <w:rsid w:val="00735492"/>
    <w:rsid w:val="00745245"/>
    <w:rsid w:val="00747752"/>
    <w:rsid w:val="00751D67"/>
    <w:rsid w:val="00780953"/>
    <w:rsid w:val="00781C85"/>
    <w:rsid w:val="00782F89"/>
    <w:rsid w:val="00795A5C"/>
    <w:rsid w:val="00795E8A"/>
    <w:rsid w:val="007A1A9F"/>
    <w:rsid w:val="007A6A55"/>
    <w:rsid w:val="007B0FD7"/>
    <w:rsid w:val="007B278A"/>
    <w:rsid w:val="007B294D"/>
    <w:rsid w:val="007C14F1"/>
    <w:rsid w:val="007D1A22"/>
    <w:rsid w:val="007D78DA"/>
    <w:rsid w:val="007E4872"/>
    <w:rsid w:val="007F3510"/>
    <w:rsid w:val="00807E3B"/>
    <w:rsid w:val="00812BA2"/>
    <w:rsid w:val="008166CC"/>
    <w:rsid w:val="0082310E"/>
    <w:rsid w:val="008244AD"/>
    <w:rsid w:val="00831344"/>
    <w:rsid w:val="00846DB3"/>
    <w:rsid w:val="00857AEF"/>
    <w:rsid w:val="00860190"/>
    <w:rsid w:val="00872844"/>
    <w:rsid w:val="00873948"/>
    <w:rsid w:val="00876230"/>
    <w:rsid w:val="0088488C"/>
    <w:rsid w:val="00886BFE"/>
    <w:rsid w:val="008A0DA6"/>
    <w:rsid w:val="008C497E"/>
    <w:rsid w:val="008C6A62"/>
    <w:rsid w:val="008E08A3"/>
    <w:rsid w:val="008E4047"/>
    <w:rsid w:val="008F31EB"/>
    <w:rsid w:val="009000FA"/>
    <w:rsid w:val="00902BED"/>
    <w:rsid w:val="0091257E"/>
    <w:rsid w:val="00914863"/>
    <w:rsid w:val="00915907"/>
    <w:rsid w:val="00920CB9"/>
    <w:rsid w:val="009243E9"/>
    <w:rsid w:val="009349D4"/>
    <w:rsid w:val="009475CB"/>
    <w:rsid w:val="00964B67"/>
    <w:rsid w:val="0097687D"/>
    <w:rsid w:val="00987B33"/>
    <w:rsid w:val="009A560D"/>
    <w:rsid w:val="009B6F85"/>
    <w:rsid w:val="009C6139"/>
    <w:rsid w:val="009C796E"/>
    <w:rsid w:val="009D0CCC"/>
    <w:rsid w:val="009D3289"/>
    <w:rsid w:val="009D5698"/>
    <w:rsid w:val="00A05700"/>
    <w:rsid w:val="00A104DB"/>
    <w:rsid w:val="00A10E61"/>
    <w:rsid w:val="00A13008"/>
    <w:rsid w:val="00A162AE"/>
    <w:rsid w:val="00A1727E"/>
    <w:rsid w:val="00A333BF"/>
    <w:rsid w:val="00A50B66"/>
    <w:rsid w:val="00A8061F"/>
    <w:rsid w:val="00A80E2D"/>
    <w:rsid w:val="00A97B01"/>
    <w:rsid w:val="00AA3A28"/>
    <w:rsid w:val="00AB13F6"/>
    <w:rsid w:val="00AB613C"/>
    <w:rsid w:val="00AD4383"/>
    <w:rsid w:val="00AE15EF"/>
    <w:rsid w:val="00AE3F9A"/>
    <w:rsid w:val="00AF0D32"/>
    <w:rsid w:val="00B05085"/>
    <w:rsid w:val="00B26D70"/>
    <w:rsid w:val="00B3134C"/>
    <w:rsid w:val="00B537FD"/>
    <w:rsid w:val="00B661C8"/>
    <w:rsid w:val="00B70570"/>
    <w:rsid w:val="00B7650E"/>
    <w:rsid w:val="00B76B39"/>
    <w:rsid w:val="00B87AF3"/>
    <w:rsid w:val="00B90844"/>
    <w:rsid w:val="00B978A0"/>
    <w:rsid w:val="00BB573C"/>
    <w:rsid w:val="00BC0437"/>
    <w:rsid w:val="00BC1AF2"/>
    <w:rsid w:val="00BC3E59"/>
    <w:rsid w:val="00BC69A9"/>
    <w:rsid w:val="00BE1B04"/>
    <w:rsid w:val="00BF119B"/>
    <w:rsid w:val="00C06984"/>
    <w:rsid w:val="00C07CBF"/>
    <w:rsid w:val="00C07F0C"/>
    <w:rsid w:val="00C340DA"/>
    <w:rsid w:val="00C50B2E"/>
    <w:rsid w:val="00C5393C"/>
    <w:rsid w:val="00C54B89"/>
    <w:rsid w:val="00C55EB8"/>
    <w:rsid w:val="00C60831"/>
    <w:rsid w:val="00C73D96"/>
    <w:rsid w:val="00C74580"/>
    <w:rsid w:val="00C7774E"/>
    <w:rsid w:val="00C80C28"/>
    <w:rsid w:val="00C814E5"/>
    <w:rsid w:val="00CB30D4"/>
    <w:rsid w:val="00CB523C"/>
    <w:rsid w:val="00CC1441"/>
    <w:rsid w:val="00CD0D22"/>
    <w:rsid w:val="00CD2D8A"/>
    <w:rsid w:val="00CD5926"/>
    <w:rsid w:val="00CD7664"/>
    <w:rsid w:val="00D02BF1"/>
    <w:rsid w:val="00D21F89"/>
    <w:rsid w:val="00D3332B"/>
    <w:rsid w:val="00D3710D"/>
    <w:rsid w:val="00D53997"/>
    <w:rsid w:val="00D72632"/>
    <w:rsid w:val="00D769C0"/>
    <w:rsid w:val="00DB3449"/>
    <w:rsid w:val="00DC158F"/>
    <w:rsid w:val="00DC161F"/>
    <w:rsid w:val="00DC58E4"/>
    <w:rsid w:val="00DD0DBC"/>
    <w:rsid w:val="00DD1F14"/>
    <w:rsid w:val="00DD3228"/>
    <w:rsid w:val="00DD3945"/>
    <w:rsid w:val="00DE4B94"/>
    <w:rsid w:val="00DE57F7"/>
    <w:rsid w:val="00DF78C1"/>
    <w:rsid w:val="00E04955"/>
    <w:rsid w:val="00E072AB"/>
    <w:rsid w:val="00E10996"/>
    <w:rsid w:val="00E47832"/>
    <w:rsid w:val="00E57F3E"/>
    <w:rsid w:val="00E61DA0"/>
    <w:rsid w:val="00E76165"/>
    <w:rsid w:val="00E8712C"/>
    <w:rsid w:val="00EA316B"/>
    <w:rsid w:val="00EE5B9D"/>
    <w:rsid w:val="00F15804"/>
    <w:rsid w:val="00F1743E"/>
    <w:rsid w:val="00F4189A"/>
    <w:rsid w:val="00F60CB5"/>
    <w:rsid w:val="00F634FE"/>
    <w:rsid w:val="00F71218"/>
    <w:rsid w:val="00F727BA"/>
    <w:rsid w:val="00F77859"/>
    <w:rsid w:val="00F8066F"/>
    <w:rsid w:val="00F8070C"/>
    <w:rsid w:val="00F81888"/>
    <w:rsid w:val="00F86D9B"/>
    <w:rsid w:val="00F87186"/>
    <w:rsid w:val="00F94BED"/>
    <w:rsid w:val="00F964DD"/>
    <w:rsid w:val="00FA36D0"/>
    <w:rsid w:val="00FB1572"/>
    <w:rsid w:val="00FC3E4F"/>
    <w:rsid w:val="00FC7527"/>
    <w:rsid w:val="00FD75AC"/>
    <w:rsid w:val="00FE050A"/>
    <w:rsid w:val="00FE7987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8305B"/>
  <w15:chartTrackingRefBased/>
  <w15:docId w15:val="{D5CC1AEA-3730-47A9-B5BF-F6AAC608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49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D1F1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07CBF"/>
    <w:rPr>
      <w:kern w:val="2"/>
    </w:rPr>
  </w:style>
  <w:style w:type="paragraph" w:styleId="a7">
    <w:name w:val="footer"/>
    <w:basedOn w:val="a"/>
    <w:link w:val="a8"/>
    <w:uiPriority w:val="99"/>
    <w:unhideWhenUsed/>
    <w:rsid w:val="00C07CB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07CBF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282C45"/>
    <w:rPr>
      <w:rFonts w:ascii="Cambria" w:hAnsi="Cambria"/>
      <w:sz w:val="18"/>
      <w:szCs w:val="18"/>
      <w:lang w:val="x-none" w:eastAsia="x-none"/>
    </w:rPr>
  </w:style>
  <w:style w:type="character" w:customStyle="1" w:styleId="aa">
    <w:name w:val="註解方塊文字 字元"/>
    <w:link w:val="a9"/>
    <w:uiPriority w:val="99"/>
    <w:semiHidden/>
    <w:rsid w:val="00282C4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193</Words>
  <Characters>1106</Characters>
  <Application>Microsoft Office Word</Application>
  <DocSecurity>0</DocSecurity>
  <Lines>9</Lines>
  <Paragraphs>2</Paragraphs>
  <ScaleCrop>false</ScaleCrop>
  <Company>mirdc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m001488</dc:creator>
  <cp:keywords/>
  <cp:lastModifiedBy>申凱如</cp:lastModifiedBy>
  <cp:revision>14</cp:revision>
  <cp:lastPrinted>2024-04-17T03:52:00Z</cp:lastPrinted>
  <dcterms:created xsi:type="dcterms:W3CDTF">2024-04-17T02:22:00Z</dcterms:created>
  <dcterms:modified xsi:type="dcterms:W3CDTF">2024-04-24T03:45:00Z</dcterms:modified>
</cp:coreProperties>
</file>