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8"/>
      </w:tblGrid>
      <w:tr w:rsidR="003919B7" w:rsidRPr="00CB75F2" w14:paraId="4BC07550" w14:textId="77777777" w:rsidTr="0022297F">
        <w:trPr>
          <w:trHeight w:val="7645"/>
        </w:trPr>
        <w:tc>
          <w:tcPr>
            <w:tcW w:w="5000" w:type="pct"/>
            <w:shd w:val="clear" w:color="auto" w:fill="auto"/>
          </w:tcPr>
          <w:p w14:paraId="76481B36" w14:textId="38342A8A" w:rsidR="003919B7" w:rsidRPr="00CB75F2" w:rsidRDefault="003919B7" w:rsidP="00B92A1D">
            <w:pPr>
              <w:spacing w:beforeLines="50" w:before="180"/>
              <w:rPr>
                <w:rFonts w:ascii="Times New Roman" w:eastAsia="標楷體" w:hAnsi="Times New Roman"/>
                <w:b/>
                <w:bCs/>
                <w:color w:val="2F5496"/>
                <w:sz w:val="56"/>
                <w:u w:val="single"/>
              </w:rPr>
            </w:pPr>
            <w:r w:rsidRPr="00CB75F2">
              <w:rPr>
                <w:rFonts w:ascii="Times New Roman" w:eastAsia="標楷體" w:hAnsi="Times New Roman"/>
                <w:b/>
                <w:lang w:bidi="en-US"/>
              </w:rPr>
              <w:br w:type="page"/>
            </w:r>
            <w:r w:rsidRPr="00CB75F2">
              <w:rPr>
                <w:rFonts w:ascii="Times New Roman" w:eastAsia="標楷體" w:hAnsi="Times New Roman"/>
                <w:b/>
                <w:bCs/>
                <w:sz w:val="56"/>
              </w:rPr>
              <w:t xml:space="preserve">    </w:t>
            </w:r>
            <w:r w:rsidRPr="00CB75F2">
              <w:rPr>
                <w:rFonts w:ascii="Times New Roman" w:eastAsia="標楷體" w:hAnsi="Times New Roman"/>
                <w:b/>
                <w:bCs/>
                <w:color w:val="2F5496"/>
                <w:sz w:val="56"/>
                <w:u w:val="single"/>
              </w:rPr>
              <w:t>新聞資料</w:t>
            </w:r>
            <w:r w:rsidRPr="00CB75F2">
              <w:rPr>
                <w:rFonts w:ascii="Times New Roman" w:eastAsia="標楷體" w:hAnsi="Times New Roman"/>
                <w:b/>
                <w:bCs/>
                <w:color w:val="2F5496"/>
                <w:sz w:val="56"/>
                <w:u w:val="single"/>
              </w:rPr>
              <w:t>NEWS LETTER</w:t>
            </w:r>
            <w:r w:rsidR="0022705E" w:rsidRPr="00CB75F2">
              <w:rPr>
                <w:rFonts w:ascii="Times New Roman" w:eastAsia="標楷體" w:hAnsi="Times New Roman"/>
                <w:b/>
                <w:bCs/>
                <w:noProof/>
                <w:sz w:val="56"/>
              </w:rPr>
              <w:drawing>
                <wp:anchor distT="0" distB="0" distL="114300" distR="114300" simplePos="0" relativeHeight="251656704" behindDoc="0" locked="0" layoutInCell="1" allowOverlap="1" wp14:anchorId="0047B5A5" wp14:editId="1C710E09">
                  <wp:simplePos x="0" y="0"/>
                  <wp:positionH relativeFrom="column">
                    <wp:posOffset>649605</wp:posOffset>
                  </wp:positionH>
                  <wp:positionV relativeFrom="paragraph">
                    <wp:posOffset>-596265</wp:posOffset>
                  </wp:positionV>
                  <wp:extent cx="508635" cy="508635"/>
                  <wp:effectExtent l="0" t="0" r="0" b="0"/>
                  <wp:wrapSquare wrapText="bothSides"/>
                  <wp:docPr id="8"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8DA3B" w14:textId="36DA1914" w:rsidR="00FD7C8E" w:rsidRPr="00CB75F2" w:rsidRDefault="00FD7C8E" w:rsidP="00FD7C8E">
            <w:pPr>
              <w:spacing w:line="480" w:lineRule="exact"/>
              <w:jc w:val="center"/>
              <w:rPr>
                <w:rFonts w:ascii="Times New Roman" w:eastAsia="標楷體" w:hAnsi="Times New Roman"/>
                <w:b/>
                <w:sz w:val="44"/>
                <w:szCs w:val="44"/>
              </w:rPr>
            </w:pPr>
            <w:r w:rsidRPr="00CB75F2">
              <w:rPr>
                <w:rFonts w:ascii="Times New Roman" w:eastAsia="標楷體" w:hAnsi="Times New Roman"/>
                <w:b/>
                <w:sz w:val="44"/>
                <w:lang w:bidi="en-US"/>
              </w:rPr>
              <w:t xml:space="preserve">Employment in Wind </w:t>
            </w:r>
            <w:r w:rsidR="007A29FC">
              <w:rPr>
                <w:rFonts w:ascii="Times New Roman" w:eastAsia="標楷體" w:hAnsi="Times New Roman" w:hint="eastAsia"/>
                <w:b/>
                <w:sz w:val="44"/>
                <w:lang w:bidi="en-US"/>
              </w:rPr>
              <w:t>E</w:t>
            </w:r>
            <w:r w:rsidR="007A29FC">
              <w:rPr>
                <w:rFonts w:ascii="Times New Roman" w:eastAsia="標楷體" w:hAnsi="Times New Roman"/>
                <w:b/>
                <w:sz w:val="44"/>
                <w:lang w:bidi="en-US"/>
              </w:rPr>
              <w:t>nergy</w:t>
            </w:r>
            <w:r w:rsidRPr="00CB75F2">
              <w:rPr>
                <w:rFonts w:ascii="Times New Roman" w:eastAsia="標楷體" w:hAnsi="Times New Roman"/>
                <w:b/>
                <w:sz w:val="44"/>
                <w:lang w:bidi="en-US"/>
              </w:rPr>
              <w:t xml:space="preserve"> Industry Aligns with International Standards, Production and Training Integrated, Boosting Competitiveness</w:t>
            </w:r>
          </w:p>
          <w:p w14:paraId="50E8EDC3" w14:textId="025F68F9" w:rsidR="00FD7C8E" w:rsidRPr="00CB75F2" w:rsidRDefault="00FD7C8E" w:rsidP="00FD7C8E">
            <w:pPr>
              <w:spacing w:line="480" w:lineRule="exact"/>
              <w:jc w:val="center"/>
              <w:rPr>
                <w:rFonts w:ascii="Times New Roman" w:eastAsia="標楷體" w:hAnsi="Times New Roman"/>
                <w:b/>
                <w:sz w:val="44"/>
                <w:szCs w:val="44"/>
              </w:rPr>
            </w:pPr>
            <w:r w:rsidRPr="00CB75F2">
              <w:rPr>
                <w:rFonts w:ascii="Times New Roman" w:eastAsia="標楷體" w:hAnsi="Times New Roman"/>
                <w:b/>
                <w:sz w:val="44"/>
                <w:lang w:bidi="en-US"/>
              </w:rPr>
              <w:t xml:space="preserve">The Metal Industries Research &amp; Development Centre (MIRDC) is now enrolling for its second round of </w:t>
            </w:r>
            <w:r w:rsidR="007A29FC">
              <w:rPr>
                <w:rFonts w:ascii="Times New Roman" w:eastAsia="標楷體" w:hAnsi="Times New Roman"/>
                <w:b/>
                <w:sz w:val="44"/>
                <w:lang w:bidi="en-US"/>
              </w:rPr>
              <w:t>wind energy</w:t>
            </w:r>
            <w:r w:rsidRPr="00CB75F2">
              <w:rPr>
                <w:rFonts w:ascii="Times New Roman" w:eastAsia="標楷體" w:hAnsi="Times New Roman"/>
                <w:b/>
                <w:sz w:val="44"/>
                <w:lang w:bidi="en-US"/>
              </w:rPr>
              <w:t xml:space="preserve"> employment training courses!</w:t>
            </w:r>
          </w:p>
          <w:p w14:paraId="12F63400" w14:textId="77777777" w:rsidR="00FD7C8E" w:rsidRPr="00CB75F2" w:rsidRDefault="00FD7C8E" w:rsidP="00EC67E7">
            <w:pPr>
              <w:spacing w:line="480" w:lineRule="exact"/>
              <w:jc w:val="both"/>
              <w:rPr>
                <w:rFonts w:ascii="Times New Roman" w:eastAsia="標楷體" w:hAnsi="Times New Roman"/>
                <w:sz w:val="28"/>
                <w:szCs w:val="28"/>
              </w:rPr>
            </w:pPr>
          </w:p>
          <w:p w14:paraId="0A359588" w14:textId="67C7AFB8" w:rsidR="00E54E8C" w:rsidRPr="00CB75F2" w:rsidRDefault="00E54E8C" w:rsidP="00E54E8C">
            <w:pPr>
              <w:spacing w:line="480" w:lineRule="exact"/>
              <w:jc w:val="both"/>
              <w:rPr>
                <w:rFonts w:ascii="Times New Roman" w:eastAsia="標楷體" w:hAnsi="Times New Roman"/>
                <w:sz w:val="28"/>
                <w:szCs w:val="28"/>
              </w:rPr>
            </w:pPr>
            <w:r w:rsidRPr="00CB75F2">
              <w:rPr>
                <w:rFonts w:ascii="Times New Roman" w:eastAsia="標楷體" w:hAnsi="Times New Roman"/>
                <w:sz w:val="28"/>
                <w:lang w:bidi="en-US"/>
              </w:rPr>
              <w:t xml:space="preserve">The Maritime Technology Innovation Center (MTIC), managed by the MIRDC on commission by the Energy Administration under the Ministry of Economic Affairs, is a training base for offshore </w:t>
            </w:r>
            <w:r w:rsidR="007A29FC">
              <w:rPr>
                <w:rFonts w:ascii="Times New Roman" w:eastAsia="標楷體" w:hAnsi="Times New Roman"/>
                <w:sz w:val="28"/>
                <w:lang w:bidi="en-US"/>
              </w:rPr>
              <w:t>wind energy</w:t>
            </w:r>
            <w:r w:rsidRPr="00CB75F2">
              <w:rPr>
                <w:rFonts w:ascii="Times New Roman" w:eastAsia="標楷體" w:hAnsi="Times New Roman"/>
                <w:sz w:val="28"/>
                <w:lang w:bidi="en-US"/>
              </w:rPr>
              <w:t xml:space="preserve"> and maritime engineering professionals in Taiwan. It has long been committed to fostering practical links between the green energy sector and international professional certifications. Since the opening of the </w:t>
            </w:r>
            <w:r w:rsidR="00310E9A" w:rsidRPr="00310E9A">
              <w:rPr>
                <w:rFonts w:ascii="Times New Roman" w:eastAsia="標楷體" w:hAnsi="Times New Roman"/>
                <w:sz w:val="28"/>
                <w:lang w:bidi="en-US"/>
              </w:rPr>
              <w:t>Offshore Wind Energy Employment Training Course</w:t>
            </w:r>
            <w:r w:rsidRPr="00CB75F2">
              <w:rPr>
                <w:rFonts w:ascii="Times New Roman" w:eastAsia="標楷體" w:hAnsi="Times New Roman"/>
                <w:sz w:val="28"/>
                <w:lang w:bidi="en-US"/>
              </w:rPr>
              <w:t xml:space="preserve"> in 2020, the courses have built extensive experience across multiple rounds and have earned a good reputation. Over the years, it has achieved a peak employment correlation rate of 81%, demonstrating its high alignment with industry needs and the effectiveness of its training.</w:t>
            </w:r>
          </w:p>
          <w:p w14:paraId="44B6385B" w14:textId="77777777" w:rsidR="00E54E8C" w:rsidRPr="00CB75F2" w:rsidRDefault="00E54E8C" w:rsidP="00E54E8C">
            <w:pPr>
              <w:spacing w:line="480" w:lineRule="exact"/>
              <w:jc w:val="both"/>
              <w:rPr>
                <w:rFonts w:ascii="Times New Roman" w:eastAsia="標楷體" w:hAnsi="Times New Roman"/>
                <w:sz w:val="28"/>
                <w:szCs w:val="28"/>
              </w:rPr>
            </w:pPr>
          </w:p>
          <w:p w14:paraId="1D9CCC82" w14:textId="71410A2E" w:rsidR="00E54E8C" w:rsidRPr="004F5F6E" w:rsidRDefault="00E54E8C" w:rsidP="00E54E8C">
            <w:pPr>
              <w:spacing w:line="480" w:lineRule="exact"/>
              <w:jc w:val="both"/>
              <w:rPr>
                <w:rFonts w:ascii="Times New Roman" w:eastAsia="標楷體" w:hAnsi="Times New Roman"/>
                <w:b/>
                <w:bCs/>
                <w:sz w:val="28"/>
                <w:szCs w:val="28"/>
                <w:u w:val="single"/>
              </w:rPr>
            </w:pPr>
            <w:r w:rsidRPr="004F5F6E">
              <w:rPr>
                <w:rFonts w:ascii="Times New Roman" w:eastAsia="標楷體" w:hAnsi="Times New Roman"/>
                <w:b/>
                <w:sz w:val="28"/>
                <w:u w:val="single"/>
                <w:lang w:bidi="en-US"/>
              </w:rPr>
              <w:t xml:space="preserve">This year's first round achieved fruitful results. Industry visits and matchmaking interviews received </w:t>
            </w:r>
            <w:r w:rsidR="00853FFC" w:rsidRPr="004F5F6E">
              <w:rPr>
                <w:rFonts w:ascii="Times New Roman" w:eastAsia="標楷體" w:hAnsi="Times New Roman"/>
                <w:b/>
                <w:sz w:val="28"/>
                <w:u w:val="single"/>
                <w:lang w:bidi="en-US"/>
              </w:rPr>
              <w:t>overwhelmingly positive feedback</w:t>
            </w:r>
          </w:p>
          <w:p w14:paraId="235E5BB7" w14:textId="77777777" w:rsidR="00E54E8C" w:rsidRPr="00CB75F2" w:rsidRDefault="00E54E8C" w:rsidP="00E54E8C">
            <w:pPr>
              <w:spacing w:line="480" w:lineRule="exact"/>
              <w:jc w:val="both"/>
              <w:rPr>
                <w:rFonts w:ascii="Times New Roman" w:eastAsia="標楷體" w:hAnsi="Times New Roman"/>
                <w:sz w:val="28"/>
                <w:szCs w:val="28"/>
              </w:rPr>
            </w:pPr>
            <w:r w:rsidRPr="00CB75F2">
              <w:rPr>
                <w:rFonts w:ascii="Times New Roman" w:eastAsia="標楷體" w:hAnsi="Times New Roman"/>
                <w:sz w:val="28"/>
                <w:lang w:bidi="en-US"/>
              </w:rPr>
              <w:t>In the first round of courses, which began in April 2025, multiple professional training and industry connection activities were organized, including a visit to Siemens Gamesa Renewable Energy’s wind turbine nacelle factory to gain a deep understanding of the internal structures and assembly processes of turbines. On the final two days, one-on-one corporate matchmaking interviews invited companies from various sectors of the wind energy industry chain for on-site recruitment interviews with participants, fostering job placement opportunities. Many trainees received interview opportunities before the training ended. They expressed their high praise for the course: “The visits and interviews helped us not only to learn but also to enter the workplace earlier.”</w:t>
            </w:r>
          </w:p>
          <w:p w14:paraId="75F12FB4" w14:textId="77777777" w:rsidR="002C360E" w:rsidRPr="00CB75F2" w:rsidRDefault="002C360E" w:rsidP="00E54E8C">
            <w:pPr>
              <w:spacing w:line="480" w:lineRule="exact"/>
              <w:jc w:val="both"/>
              <w:rPr>
                <w:rFonts w:ascii="Times New Roman" w:eastAsia="標楷體" w:hAnsi="Times New Roman"/>
                <w:sz w:val="28"/>
                <w:szCs w:val="28"/>
              </w:rPr>
            </w:pPr>
          </w:p>
          <w:p w14:paraId="40BFFD62" w14:textId="77777777" w:rsidR="00E54E8C" w:rsidRPr="00CB75F2" w:rsidRDefault="00114A99" w:rsidP="00E54E8C">
            <w:pPr>
              <w:spacing w:line="480" w:lineRule="exact"/>
              <w:jc w:val="both"/>
              <w:rPr>
                <w:rFonts w:ascii="Times New Roman" w:eastAsia="標楷體" w:hAnsi="Times New Roman"/>
                <w:b/>
                <w:bCs/>
                <w:sz w:val="28"/>
                <w:szCs w:val="28"/>
                <w:u w:val="single"/>
              </w:rPr>
            </w:pPr>
            <w:r w:rsidRPr="00CB75F2">
              <w:rPr>
                <w:rFonts w:ascii="Times New Roman" w:eastAsia="標楷體" w:hAnsi="Times New Roman"/>
                <w:b/>
                <w:sz w:val="28"/>
                <w:u w:val="single"/>
                <w:lang w:bidi="en-US"/>
              </w:rPr>
              <w:t xml:space="preserve">The course covers GWO international certification, fully tailored to meet industry </w:t>
            </w:r>
            <w:r w:rsidRPr="00CB75F2">
              <w:rPr>
                <w:rFonts w:ascii="Times New Roman" w:eastAsia="標楷體" w:hAnsi="Times New Roman"/>
                <w:b/>
                <w:sz w:val="28"/>
                <w:u w:val="single"/>
                <w:lang w:bidi="en-US"/>
              </w:rPr>
              <w:lastRenderedPageBreak/>
              <w:t>needs</w:t>
            </w:r>
          </w:p>
          <w:p w14:paraId="20686F25" w14:textId="1EBB20CE" w:rsidR="00E54E8C" w:rsidRPr="004F5F6E" w:rsidRDefault="00E54E8C" w:rsidP="00E54E8C">
            <w:pPr>
              <w:spacing w:line="480" w:lineRule="exact"/>
              <w:jc w:val="both"/>
              <w:rPr>
                <w:rFonts w:ascii="Times New Roman" w:eastAsia="標楷體" w:hAnsi="Times New Roman"/>
                <w:sz w:val="28"/>
                <w:szCs w:val="28"/>
              </w:rPr>
            </w:pPr>
            <w:r w:rsidRPr="004F5F6E">
              <w:rPr>
                <w:rFonts w:ascii="Times New Roman" w:eastAsia="標楷體" w:hAnsi="Times New Roman"/>
                <w:sz w:val="28"/>
                <w:lang w:bidi="en-US"/>
              </w:rPr>
              <w:t xml:space="preserve">Different from </w:t>
            </w:r>
            <w:r w:rsidR="00853FFC" w:rsidRPr="004F5F6E">
              <w:rPr>
                <w:rFonts w:ascii="Times New Roman" w:eastAsia="標楷體" w:hAnsi="Times New Roman" w:hint="eastAsia"/>
                <w:sz w:val="28"/>
                <w:lang w:bidi="en-US"/>
              </w:rPr>
              <w:t xml:space="preserve">many </w:t>
            </w:r>
            <w:r w:rsidR="00853FFC" w:rsidRPr="004F5F6E">
              <w:rPr>
                <w:rFonts w:ascii="Times New Roman" w:eastAsia="標楷體" w:hAnsi="Times New Roman"/>
                <w:sz w:val="28"/>
                <w:lang w:bidi="en-US"/>
              </w:rPr>
              <w:t>experience-based short courses</w:t>
            </w:r>
            <w:r w:rsidRPr="004F5F6E">
              <w:rPr>
                <w:rFonts w:ascii="Times New Roman" w:eastAsia="標楷體" w:hAnsi="Times New Roman"/>
                <w:sz w:val="28"/>
                <w:lang w:bidi="en-US"/>
              </w:rPr>
              <w:t xml:space="preserve">, this training </w:t>
            </w:r>
            <w:r w:rsidR="0053107A" w:rsidRPr="004F5F6E">
              <w:rPr>
                <w:rFonts w:ascii="Times New Roman" w:eastAsia="標楷體" w:hAnsi="Times New Roman" w:hint="eastAsia"/>
                <w:sz w:val="28"/>
                <w:lang w:bidi="en-US"/>
              </w:rPr>
              <w:t>course</w:t>
            </w:r>
            <w:r w:rsidRPr="004F5F6E">
              <w:rPr>
                <w:rFonts w:ascii="Times New Roman" w:eastAsia="標楷體" w:hAnsi="Times New Roman"/>
                <w:sz w:val="28"/>
                <w:lang w:bidi="en-US"/>
              </w:rPr>
              <w:t xml:space="preserve"> includes five </w:t>
            </w:r>
            <w:r w:rsidR="00853FFC" w:rsidRPr="004F5F6E">
              <w:rPr>
                <w:rFonts w:ascii="Times New Roman" w:eastAsia="標楷體" w:hAnsi="Times New Roman"/>
                <w:sz w:val="28"/>
                <w:lang w:bidi="en-US"/>
              </w:rPr>
              <w:t>GWO (Global Wind Organization)</w:t>
            </w:r>
            <w:r w:rsidRPr="004F5F6E">
              <w:rPr>
                <w:rFonts w:ascii="Times New Roman" w:eastAsia="標楷體" w:hAnsi="Times New Roman"/>
                <w:sz w:val="28"/>
                <w:lang w:bidi="en-US"/>
              </w:rPr>
              <w:t xml:space="preserve">-certified </w:t>
            </w:r>
            <w:r w:rsidR="00853FFC" w:rsidRPr="004F5F6E">
              <w:rPr>
                <w:rFonts w:ascii="Times New Roman" w:eastAsia="標楷體" w:hAnsi="Times New Roman"/>
                <w:sz w:val="28"/>
                <w:lang w:bidi="en-US"/>
              </w:rPr>
              <w:t>basic safety modules:</w:t>
            </w:r>
            <w:r w:rsidR="00853FFC" w:rsidRPr="004F5F6E">
              <w:rPr>
                <w:rFonts w:ascii="Times New Roman" w:eastAsia="標楷體" w:hAnsi="Times New Roman" w:hint="eastAsia"/>
                <w:sz w:val="28"/>
                <w:lang w:bidi="en-US"/>
              </w:rPr>
              <w:t xml:space="preserve"> </w:t>
            </w:r>
            <w:r w:rsidRPr="004F5F6E">
              <w:rPr>
                <w:rFonts w:ascii="Times New Roman" w:eastAsia="標楷體" w:hAnsi="Times New Roman"/>
                <w:sz w:val="28"/>
                <w:lang w:bidi="en-US"/>
              </w:rPr>
              <w:t xml:space="preserve">work at heights, sea survival, manual handling, fire awareness, and first aid. </w:t>
            </w:r>
            <w:r w:rsidR="00853FFC" w:rsidRPr="004F5F6E">
              <w:rPr>
                <w:rFonts w:ascii="Times New Roman" w:eastAsia="標楷體" w:hAnsi="Times New Roman"/>
                <w:sz w:val="28"/>
                <w:lang w:bidi="en-US"/>
              </w:rPr>
              <w:t xml:space="preserve">These certifications comply with international offshore wind farm safety standards. </w:t>
            </w:r>
            <w:r w:rsidRPr="004F5F6E">
              <w:rPr>
                <w:rFonts w:ascii="Times New Roman" w:eastAsia="標楷體" w:hAnsi="Times New Roman"/>
                <w:sz w:val="28"/>
                <w:lang w:bidi="en-US"/>
              </w:rPr>
              <w:t>Trainees who pass the assessment during training can directly obtain international certification, which greatly improves their competitiveness in the workplace and lays a solid foundation for entering the wind energy industry.</w:t>
            </w:r>
          </w:p>
          <w:p w14:paraId="617CB069" w14:textId="77777777" w:rsidR="002C360E" w:rsidRPr="004F5F6E" w:rsidRDefault="002C360E" w:rsidP="00E54E8C">
            <w:pPr>
              <w:spacing w:line="480" w:lineRule="exact"/>
              <w:jc w:val="both"/>
              <w:rPr>
                <w:rFonts w:ascii="Times New Roman" w:eastAsia="標楷體" w:hAnsi="Times New Roman"/>
                <w:sz w:val="28"/>
                <w:szCs w:val="28"/>
              </w:rPr>
            </w:pPr>
          </w:p>
          <w:p w14:paraId="0788A169" w14:textId="5733663F" w:rsidR="00E54E8C" w:rsidRPr="004F5F6E" w:rsidRDefault="007B0792" w:rsidP="00E54E8C">
            <w:pPr>
              <w:spacing w:line="480" w:lineRule="exact"/>
              <w:jc w:val="both"/>
              <w:rPr>
                <w:rFonts w:ascii="Times New Roman" w:eastAsia="標楷體" w:hAnsi="Times New Roman"/>
                <w:b/>
                <w:bCs/>
                <w:sz w:val="28"/>
                <w:szCs w:val="28"/>
                <w:u w:val="single"/>
              </w:rPr>
            </w:pPr>
            <w:r w:rsidRPr="004F5F6E">
              <w:rPr>
                <w:rFonts w:ascii="Times New Roman" w:eastAsia="標楷體" w:hAnsi="Times New Roman"/>
                <w:b/>
                <w:sz w:val="28"/>
                <w:u w:val="single"/>
                <w:lang w:bidi="en-US"/>
              </w:rPr>
              <w:t xml:space="preserve">Those eligible will receive full subsidies, allowing young people to enter the industry </w:t>
            </w:r>
            <w:r w:rsidR="0053107A" w:rsidRPr="004F5F6E">
              <w:rPr>
                <w:rFonts w:ascii="Times New Roman" w:eastAsia="標楷體" w:hAnsi="Times New Roman"/>
                <w:b/>
                <w:bCs/>
                <w:sz w:val="28"/>
                <w:u w:val="single"/>
                <w:lang w:bidi="en-US"/>
              </w:rPr>
              <w:t>without financial barriers</w:t>
            </w:r>
            <w:r w:rsidRPr="004F5F6E">
              <w:rPr>
                <w:rFonts w:ascii="Times New Roman" w:eastAsia="標楷體" w:hAnsi="Times New Roman"/>
                <w:b/>
                <w:sz w:val="28"/>
                <w:u w:val="single"/>
                <w:lang w:bidi="en-US"/>
              </w:rPr>
              <w:t>. The time to enroll is now!</w:t>
            </w:r>
          </w:p>
          <w:p w14:paraId="1FA4F6E3" w14:textId="503CE152" w:rsidR="002C360E" w:rsidRPr="004F5F6E" w:rsidRDefault="00DC5AB5" w:rsidP="00E54E8C">
            <w:pPr>
              <w:spacing w:line="480" w:lineRule="exact"/>
              <w:jc w:val="both"/>
              <w:rPr>
                <w:rFonts w:ascii="Times New Roman" w:eastAsia="標楷體" w:hAnsi="Times New Roman"/>
                <w:sz w:val="28"/>
                <w:szCs w:val="28"/>
              </w:rPr>
            </w:pPr>
            <w:r w:rsidRPr="004F5F6E">
              <w:rPr>
                <w:rFonts w:ascii="Times New Roman" w:eastAsia="標楷體" w:hAnsi="Times New Roman"/>
                <w:sz w:val="28"/>
                <w:lang w:bidi="en-US"/>
              </w:rPr>
              <w:t>Any young person of Taiwanese nationality who is aged between 18 and 29, currently unemployed, and not a daytime student can apply for 100% tuition subsid</w:t>
            </w:r>
            <w:r w:rsidR="00853FFC" w:rsidRPr="004F5F6E">
              <w:rPr>
                <w:rFonts w:ascii="Times New Roman" w:eastAsia="標楷體" w:hAnsi="Times New Roman" w:hint="eastAsia"/>
                <w:sz w:val="28"/>
                <w:lang w:bidi="en-US"/>
              </w:rPr>
              <w:t>ies</w:t>
            </w:r>
            <w:r w:rsidRPr="004F5F6E">
              <w:rPr>
                <w:rFonts w:ascii="Times New Roman" w:eastAsia="標楷體" w:hAnsi="Times New Roman"/>
                <w:sz w:val="28"/>
                <w:lang w:bidi="en-US"/>
              </w:rPr>
              <w:t xml:space="preserve">. Recipients only need to pay an attendance deposit in advance, which will be fully refunded after the course ends if the attendance and assessment standards are met. During training, various employment guidance services are provided, including English resume reviews, mock interview drills, industry lectures, and corporate matchmaking interviews, which help trainees seamlessly transition into the </w:t>
            </w:r>
            <w:r w:rsidR="007A29FC" w:rsidRPr="004F5F6E">
              <w:rPr>
                <w:rFonts w:ascii="Times New Roman" w:eastAsia="標楷體" w:hAnsi="Times New Roman"/>
                <w:sz w:val="28"/>
                <w:lang w:bidi="en-US"/>
              </w:rPr>
              <w:t>wind energy</w:t>
            </w:r>
            <w:r w:rsidRPr="004F5F6E">
              <w:rPr>
                <w:rFonts w:ascii="Times New Roman" w:eastAsia="標楷體" w:hAnsi="Times New Roman"/>
                <w:sz w:val="28"/>
                <w:lang w:bidi="en-US"/>
              </w:rPr>
              <w:t xml:space="preserve"> workplace.</w:t>
            </w:r>
          </w:p>
          <w:p w14:paraId="1A5363BD" w14:textId="77777777" w:rsidR="00E0048D" w:rsidRPr="004F5F6E" w:rsidRDefault="00E0048D" w:rsidP="00E54E8C">
            <w:pPr>
              <w:spacing w:line="480" w:lineRule="exact"/>
              <w:jc w:val="both"/>
              <w:rPr>
                <w:rFonts w:ascii="Times New Roman" w:eastAsia="標楷體" w:hAnsi="Times New Roman"/>
                <w:sz w:val="28"/>
                <w:szCs w:val="28"/>
              </w:rPr>
            </w:pPr>
          </w:p>
          <w:p w14:paraId="0C25FE7D" w14:textId="77777777" w:rsidR="00E54E8C" w:rsidRPr="004F5F6E" w:rsidRDefault="00E54E8C" w:rsidP="00E54E8C">
            <w:pPr>
              <w:spacing w:line="480" w:lineRule="exact"/>
              <w:jc w:val="both"/>
              <w:rPr>
                <w:rFonts w:ascii="Times New Roman" w:eastAsia="標楷體" w:hAnsi="Times New Roman"/>
                <w:b/>
                <w:bCs/>
                <w:sz w:val="28"/>
                <w:szCs w:val="28"/>
                <w:u w:val="single"/>
              </w:rPr>
            </w:pPr>
            <w:r w:rsidRPr="004F5F6E">
              <w:rPr>
                <w:rFonts w:ascii="Times New Roman" w:eastAsia="標楷體" w:hAnsi="Times New Roman"/>
                <w:b/>
                <w:sz w:val="28"/>
                <w:u w:val="single"/>
                <w:lang w:bidi="en-US"/>
              </w:rPr>
              <w:t>The second round of courses will officially begin on June 9, and enrollment will end after the first 30 spots are filled!</w:t>
            </w:r>
          </w:p>
          <w:p w14:paraId="28A0B710" w14:textId="0463A727" w:rsidR="00114A99" w:rsidRPr="004F5F6E" w:rsidRDefault="00E54E8C" w:rsidP="00E54E8C">
            <w:pPr>
              <w:spacing w:line="480" w:lineRule="exact"/>
              <w:jc w:val="both"/>
              <w:rPr>
                <w:rFonts w:ascii="Times New Roman" w:eastAsia="標楷體" w:hAnsi="Times New Roman"/>
                <w:sz w:val="28"/>
                <w:szCs w:val="28"/>
              </w:rPr>
            </w:pPr>
            <w:r w:rsidRPr="004F5F6E">
              <w:rPr>
                <w:rFonts w:ascii="Times New Roman" w:eastAsia="標楷體" w:hAnsi="Times New Roman"/>
                <w:sz w:val="28"/>
                <w:lang w:bidi="en-US"/>
              </w:rPr>
              <w:t xml:space="preserve">The second round </w:t>
            </w:r>
            <w:r w:rsidR="00853FFC" w:rsidRPr="004F5F6E">
              <w:rPr>
                <w:rFonts w:ascii="Times New Roman" w:eastAsia="標楷體" w:hAnsi="Times New Roman"/>
                <w:sz w:val="28"/>
                <w:lang w:bidi="en-US"/>
              </w:rPr>
              <w:t xml:space="preserve">of the </w:t>
            </w:r>
            <w:r w:rsidR="0053107A" w:rsidRPr="004F5F6E">
              <w:rPr>
                <w:rFonts w:ascii="Times New Roman" w:eastAsia="標楷體" w:hAnsi="Times New Roman" w:hint="eastAsia"/>
                <w:sz w:val="28"/>
                <w:lang w:bidi="en-US"/>
              </w:rPr>
              <w:t>course</w:t>
            </w:r>
            <w:r w:rsidR="00853FFC" w:rsidRPr="004F5F6E">
              <w:rPr>
                <w:rFonts w:ascii="Times New Roman" w:eastAsia="標楷體" w:hAnsi="Times New Roman"/>
                <w:sz w:val="28"/>
                <w:lang w:bidi="en-US"/>
              </w:rPr>
              <w:t xml:space="preserve"> runs </w:t>
            </w:r>
            <w:r w:rsidRPr="004F5F6E">
              <w:rPr>
                <w:rFonts w:ascii="Times New Roman" w:eastAsia="標楷體" w:hAnsi="Times New Roman"/>
                <w:sz w:val="28"/>
                <w:lang w:bidi="en-US"/>
              </w:rPr>
              <w:t xml:space="preserve">from June 9 to July 1, with a total training time of 144 hours. Course content will cover: Wind energy industry development &amp; career analysis, wind turbine system technology, </w:t>
            </w:r>
            <w:r w:rsidR="007A29FC" w:rsidRPr="004F5F6E">
              <w:rPr>
                <w:rFonts w:ascii="Times New Roman" w:eastAsia="標楷體" w:hAnsi="Times New Roman"/>
                <w:sz w:val="28"/>
                <w:lang w:bidi="en-US"/>
              </w:rPr>
              <w:t>wind energy</w:t>
            </w:r>
            <w:r w:rsidRPr="004F5F6E">
              <w:rPr>
                <w:rFonts w:ascii="Times New Roman" w:eastAsia="標楷體" w:hAnsi="Times New Roman"/>
                <w:sz w:val="28"/>
                <w:lang w:bidi="en-US"/>
              </w:rPr>
              <w:t xml:space="preserve"> marine engineering and operation and maintenance, GWO Basic Safety Training (BST) international certification, English resume reviews and interview skills enhancement, industry expert lectures and matchmaking interviews. </w:t>
            </w:r>
            <w:r w:rsidR="00853FFC" w:rsidRPr="004F5F6E">
              <w:rPr>
                <w:rFonts w:ascii="Times New Roman" w:eastAsia="標楷體" w:hAnsi="Times New Roman"/>
                <w:sz w:val="28"/>
                <w:lang w:bidi="en-US"/>
              </w:rPr>
              <w:t>Only 30 spots are available (minimum enrollment:8).</w:t>
            </w:r>
            <w:r w:rsidRPr="004F5F6E">
              <w:rPr>
                <w:rFonts w:ascii="Times New Roman" w:eastAsia="標楷體" w:hAnsi="Times New Roman"/>
                <w:sz w:val="28"/>
                <w:lang w:bidi="en-US"/>
              </w:rPr>
              <w:t xml:space="preserve"> Registration ends on May 23. Young people who are interested in joining the offshore wind energy industry are welcome to seize this opportunity.</w:t>
            </w:r>
          </w:p>
          <w:p w14:paraId="389B9663" w14:textId="77777777" w:rsidR="00114A99" w:rsidRPr="00CB75F2" w:rsidRDefault="00114A99" w:rsidP="00E54E8C">
            <w:pPr>
              <w:spacing w:line="480" w:lineRule="exact"/>
              <w:jc w:val="both"/>
              <w:rPr>
                <w:rFonts w:ascii="Times New Roman" w:eastAsia="標楷體" w:hAnsi="Times New Roman"/>
                <w:sz w:val="28"/>
                <w:szCs w:val="28"/>
              </w:rPr>
            </w:pPr>
          </w:p>
          <w:p w14:paraId="43E528EF" w14:textId="3EDDDA68" w:rsidR="00114A99" w:rsidRPr="00CB75F2" w:rsidRDefault="00D24F29" w:rsidP="00E54E8C">
            <w:pPr>
              <w:spacing w:line="480" w:lineRule="exact"/>
              <w:jc w:val="both"/>
              <w:rPr>
                <w:rFonts w:ascii="Times New Roman" w:eastAsia="標楷體" w:hAnsi="Times New Roman"/>
                <w:sz w:val="28"/>
                <w:szCs w:val="28"/>
              </w:rPr>
            </w:pPr>
            <w:r w:rsidRPr="00CB75F2">
              <w:rPr>
                <w:rFonts w:ascii="Times New Roman" w:eastAsia="標楷體" w:hAnsi="Times New Roman"/>
                <w:sz w:val="28"/>
                <w:lang w:bidi="en-US"/>
              </w:rPr>
              <w:t xml:space="preserve">Many past students who were not eligible for subsidies (such as being over 30 years old) still chose to pay the NT$100,000 at their own expense to participate in the full course. </w:t>
            </w:r>
            <w:r w:rsidRPr="00CB75F2">
              <w:rPr>
                <w:rFonts w:ascii="Times New Roman" w:eastAsia="標楷體" w:hAnsi="Times New Roman"/>
                <w:sz w:val="28"/>
                <w:lang w:bidi="en-US"/>
              </w:rPr>
              <w:lastRenderedPageBreak/>
              <w:t>After completing the course, those students successfully entered wind energy and related workplaces and are now working at the forefront of the industry. The course also welcomes those paying out of pocket to register, work together to thrive in the green energy sector, and reach new career heights!</w:t>
            </w:r>
          </w:p>
          <w:p w14:paraId="496031EA" w14:textId="77777777" w:rsidR="00D24F29" w:rsidRPr="00CB75F2" w:rsidRDefault="00D24F29" w:rsidP="00E54E8C">
            <w:pPr>
              <w:spacing w:line="480" w:lineRule="exact"/>
              <w:jc w:val="both"/>
              <w:rPr>
                <w:rFonts w:ascii="Times New Roman" w:eastAsia="標楷體" w:hAnsi="Times New Roman"/>
                <w:sz w:val="28"/>
                <w:szCs w:val="28"/>
              </w:rPr>
            </w:pPr>
          </w:p>
          <w:p w14:paraId="0A67B6BA" w14:textId="39EF2466" w:rsidR="00E54E8C" w:rsidRPr="00CB75F2" w:rsidRDefault="00E54E8C" w:rsidP="00E54E8C">
            <w:pPr>
              <w:spacing w:line="480" w:lineRule="exact"/>
              <w:jc w:val="both"/>
              <w:rPr>
                <w:rFonts w:ascii="Times New Roman" w:eastAsia="標楷體" w:hAnsi="Times New Roman"/>
                <w:sz w:val="28"/>
                <w:szCs w:val="28"/>
              </w:rPr>
            </w:pPr>
            <w:r w:rsidRPr="00CB75F2">
              <w:rPr>
                <w:rFonts w:ascii="Segoe UI Emoji" w:eastAsia="標楷體" w:hAnsi="Segoe UI Emoji" w:cs="Segoe UI Emoji"/>
                <w:sz w:val="28"/>
                <w:lang w:bidi="en-US"/>
              </w:rPr>
              <w:t>📞</w:t>
            </w:r>
            <w:r w:rsidRPr="00CB75F2">
              <w:rPr>
                <w:rFonts w:ascii="Times New Roman" w:eastAsia="標楷體" w:hAnsi="Times New Roman"/>
                <w:sz w:val="28"/>
                <w:lang w:bidi="en-US"/>
              </w:rPr>
              <w:t xml:space="preserve"> Course inquiry: Ms. Yen, MIRDC (</w:t>
            </w:r>
            <w:r w:rsidR="00A30655" w:rsidRPr="00CB75F2">
              <w:rPr>
                <w:rFonts w:ascii="Times New Roman" w:eastAsia="標楷體" w:hAnsi="Times New Roman"/>
                <w:sz w:val="28"/>
                <w:lang w:bidi="en-US"/>
              </w:rPr>
              <w:t>M</w:t>
            </w:r>
            <w:r w:rsidRPr="00CB75F2">
              <w:rPr>
                <w:rFonts w:ascii="Times New Roman" w:eastAsia="標楷體" w:hAnsi="Times New Roman"/>
                <w:sz w:val="28"/>
                <w:lang w:bidi="en-US"/>
              </w:rPr>
              <w:t xml:space="preserve">aritime </w:t>
            </w:r>
            <w:r w:rsidR="00853FFC">
              <w:rPr>
                <w:rFonts w:ascii="Times New Roman" w:eastAsia="標楷體" w:hAnsi="Times New Roman" w:hint="eastAsia"/>
                <w:sz w:val="28"/>
                <w:lang w:bidi="en-US"/>
              </w:rPr>
              <w:t>Competency Technology Development Section</w:t>
            </w:r>
            <w:r w:rsidRPr="00CB75F2">
              <w:rPr>
                <w:rFonts w:ascii="Times New Roman" w:eastAsia="標楷體" w:hAnsi="Times New Roman"/>
                <w:sz w:val="28"/>
                <w:lang w:bidi="en-US"/>
              </w:rPr>
              <w:t>) 07-6988899 Ext. 7232</w:t>
            </w:r>
          </w:p>
          <w:p w14:paraId="47D9B372" w14:textId="7EB6ABD4" w:rsidR="00E54E8C" w:rsidRPr="00CB75F2" w:rsidRDefault="00E54E8C" w:rsidP="00E54E8C">
            <w:pPr>
              <w:spacing w:line="480" w:lineRule="exact"/>
              <w:jc w:val="both"/>
              <w:rPr>
                <w:rFonts w:ascii="Times New Roman" w:eastAsia="標楷體" w:hAnsi="Times New Roman"/>
                <w:sz w:val="28"/>
                <w:szCs w:val="28"/>
              </w:rPr>
            </w:pPr>
            <w:r w:rsidRPr="00CB75F2">
              <w:rPr>
                <w:rFonts w:ascii="Segoe UI Emoji" w:eastAsia="標楷體" w:hAnsi="Segoe UI Emoji" w:cs="Segoe UI Emoji"/>
                <w:sz w:val="28"/>
                <w:lang w:bidi="en-US"/>
              </w:rPr>
              <w:t>📧</w:t>
            </w:r>
            <w:r w:rsidRPr="00CB75F2">
              <w:rPr>
                <w:rFonts w:ascii="Times New Roman" w:eastAsia="標楷體" w:hAnsi="Times New Roman"/>
                <w:sz w:val="28"/>
                <w:lang w:bidi="en-US"/>
              </w:rPr>
              <w:t xml:space="preserve"> Registration mailbox: ireneyen211@mail.mirdc.org.tw</w:t>
            </w:r>
          </w:p>
          <w:p w14:paraId="05C5E6E6" w14:textId="40EADB27" w:rsidR="00114A99" w:rsidRPr="00CB75F2" w:rsidRDefault="00E54E8C" w:rsidP="009A5B10">
            <w:pPr>
              <w:spacing w:line="480" w:lineRule="exact"/>
              <w:rPr>
                <w:rFonts w:ascii="Times New Roman" w:eastAsia="標楷體" w:hAnsi="Times New Roman"/>
                <w:sz w:val="28"/>
                <w:szCs w:val="28"/>
              </w:rPr>
            </w:pPr>
            <w:r w:rsidRPr="00CB75F2">
              <w:rPr>
                <w:rFonts w:ascii="Segoe UI Emoji" w:eastAsia="標楷體" w:hAnsi="Segoe UI Emoji" w:cs="Segoe UI Emoji"/>
                <w:sz w:val="28"/>
                <w:lang w:bidi="en-US"/>
              </w:rPr>
              <w:t>🔗</w:t>
            </w:r>
            <w:r w:rsidRPr="00CB75F2">
              <w:rPr>
                <w:rFonts w:ascii="Times New Roman" w:eastAsia="標楷體" w:hAnsi="Times New Roman"/>
                <w:sz w:val="28"/>
                <w:lang w:bidi="en-US"/>
              </w:rPr>
              <w:t xml:space="preserve"> Taiwan Jobs course page: </w:t>
            </w:r>
            <w:hyperlink r:id="rId9" w:history="1">
              <w:r w:rsidR="009A5B10" w:rsidRPr="00CB75F2">
                <w:rPr>
                  <w:rStyle w:val="a9"/>
                  <w:rFonts w:ascii="Times New Roman" w:eastAsia="標楷體" w:hAnsi="Times New Roman"/>
                  <w:sz w:val="28"/>
                  <w:lang w:bidi="en-US"/>
                </w:rPr>
                <w:t>https://elite.taiwanjobs.gov.tw/ClassSearch/Detail?UUID=F5C9C5E153814D3A8D222CCF078C842E&amp;SOURCE_TYPE=ELIT</w:t>
              </w:r>
            </w:hyperlink>
          </w:p>
          <w:p w14:paraId="1437A7CD" w14:textId="77777777" w:rsidR="00CA7BFA" w:rsidRPr="00CB75F2" w:rsidRDefault="00CA7BFA" w:rsidP="009A5B10">
            <w:pPr>
              <w:spacing w:line="480" w:lineRule="exact"/>
              <w:rPr>
                <w:rFonts w:ascii="Times New Roman" w:eastAsia="標楷體" w:hAnsi="Times New Roman"/>
                <w:sz w:val="28"/>
                <w:szCs w:val="28"/>
              </w:rPr>
            </w:pPr>
          </w:p>
          <w:p w14:paraId="41D2DDF5" w14:textId="6A1BE398" w:rsidR="00CA7BFA" w:rsidRPr="00CB75F2" w:rsidRDefault="0022705E" w:rsidP="00CE1493">
            <w:pPr>
              <w:jc w:val="center"/>
              <w:rPr>
                <w:rFonts w:ascii="Times New Roman" w:eastAsia="標楷體" w:hAnsi="Times New Roman"/>
                <w:sz w:val="28"/>
                <w:szCs w:val="28"/>
              </w:rPr>
            </w:pPr>
            <w:r w:rsidRPr="00CB75F2">
              <w:rPr>
                <w:rFonts w:ascii="Times New Roman" w:eastAsia="標楷體" w:hAnsi="Times New Roman"/>
                <w:noProof/>
                <w:lang w:bidi="en-US"/>
              </w:rPr>
              <w:drawing>
                <wp:inline distT="0" distB="0" distL="0" distR="0" wp14:anchorId="5A101E88" wp14:editId="3213F6E6">
                  <wp:extent cx="4889500" cy="3538220"/>
                  <wp:effectExtent l="0" t="0" r="6350" b="5080"/>
                  <wp:docPr id="1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9500" cy="3538220"/>
                          </a:xfrm>
                          <a:prstGeom prst="rect">
                            <a:avLst/>
                          </a:prstGeom>
                          <a:noFill/>
                          <a:ln>
                            <a:noFill/>
                          </a:ln>
                        </pic:spPr>
                      </pic:pic>
                    </a:graphicData>
                  </a:graphic>
                </wp:inline>
              </w:drawing>
            </w:r>
          </w:p>
          <w:p w14:paraId="5462C419" w14:textId="4E16AD6D" w:rsidR="00CA7BFA" w:rsidRPr="00CB75F2" w:rsidRDefault="00CA7BFA" w:rsidP="00CE1493">
            <w:pPr>
              <w:spacing w:beforeLines="50" w:before="180" w:afterLines="50" w:after="180" w:line="240" w:lineRule="exact"/>
              <w:jc w:val="center"/>
              <w:rPr>
                <w:rFonts w:ascii="Times New Roman" w:eastAsia="標楷體" w:hAnsi="Times New Roman"/>
                <w:szCs w:val="24"/>
              </w:rPr>
            </w:pPr>
            <w:r w:rsidRPr="00CB75F2">
              <w:rPr>
                <w:rFonts w:ascii="Times New Roman" w:eastAsia="標楷體" w:hAnsi="Times New Roman"/>
                <w:lang w:bidi="en-US"/>
              </w:rPr>
              <w:t>Photo 1.</w:t>
            </w:r>
            <w:r w:rsidR="00E5795A">
              <w:rPr>
                <w:rFonts w:ascii="Times New Roman" w:eastAsia="標楷體" w:hAnsi="Times New Roman" w:hint="eastAsia"/>
                <w:lang w:bidi="en-US"/>
              </w:rPr>
              <w:t xml:space="preserve"> </w:t>
            </w:r>
            <w:r w:rsidR="00B64A5E" w:rsidRPr="00B64A5E">
              <w:rPr>
                <w:rFonts w:ascii="Times New Roman" w:eastAsia="標楷體" w:hAnsi="Times New Roman"/>
                <w:lang w:bidi="en-US"/>
              </w:rPr>
              <w:t>Offshore Wind Energy Employment Training Course</w:t>
            </w:r>
            <w:r w:rsidR="00985A01">
              <w:rPr>
                <w:rFonts w:ascii="Arial" w:hAnsi="Arial" w:cs="Arial"/>
                <w:color w:val="474747"/>
                <w:sz w:val="21"/>
                <w:szCs w:val="21"/>
                <w:shd w:val="clear" w:color="auto" w:fill="FFFFFF"/>
              </w:rPr>
              <w:t>—</w:t>
            </w:r>
            <w:r w:rsidR="00B64A5E" w:rsidRPr="00B64A5E">
              <w:rPr>
                <w:rFonts w:ascii="Times New Roman" w:eastAsia="標楷體" w:hAnsi="Times New Roman"/>
                <w:lang w:bidi="en-US"/>
              </w:rPr>
              <w:t>Graduates of the first round receive certificates</w:t>
            </w:r>
          </w:p>
          <w:p w14:paraId="6C09E199" w14:textId="757349CA" w:rsidR="00CA7BFA" w:rsidRPr="00CB75F2" w:rsidRDefault="0022705E" w:rsidP="00CE1493">
            <w:pPr>
              <w:jc w:val="center"/>
              <w:rPr>
                <w:rFonts w:ascii="Times New Roman" w:eastAsia="標楷體" w:hAnsi="Times New Roman"/>
                <w:szCs w:val="24"/>
              </w:rPr>
            </w:pPr>
            <w:r w:rsidRPr="00CB75F2">
              <w:rPr>
                <w:rFonts w:ascii="Times New Roman" w:eastAsia="標楷體" w:hAnsi="Times New Roman"/>
                <w:noProof/>
                <w:lang w:bidi="en-US"/>
              </w:rPr>
              <w:lastRenderedPageBreak/>
              <w:drawing>
                <wp:inline distT="0" distB="0" distL="0" distR="0" wp14:anchorId="37702BF6" wp14:editId="54A0A62D">
                  <wp:extent cx="4866005" cy="3650615"/>
                  <wp:effectExtent l="0" t="0" r="0" b="6985"/>
                  <wp:docPr id="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6005" cy="3650615"/>
                          </a:xfrm>
                          <a:prstGeom prst="rect">
                            <a:avLst/>
                          </a:prstGeom>
                          <a:noFill/>
                          <a:ln>
                            <a:noFill/>
                          </a:ln>
                        </pic:spPr>
                      </pic:pic>
                    </a:graphicData>
                  </a:graphic>
                </wp:inline>
              </w:drawing>
            </w:r>
          </w:p>
          <w:p w14:paraId="42DA4CC8" w14:textId="51588A6B" w:rsidR="00CA7BFA" w:rsidRPr="00CB75F2" w:rsidRDefault="00CA7BFA" w:rsidP="00CE1493">
            <w:pPr>
              <w:spacing w:beforeLines="50" w:before="180" w:afterLines="50" w:after="180" w:line="480" w:lineRule="exact"/>
              <w:jc w:val="center"/>
              <w:rPr>
                <w:rFonts w:ascii="Times New Roman" w:eastAsia="標楷體" w:hAnsi="Times New Roman"/>
                <w:szCs w:val="24"/>
              </w:rPr>
            </w:pPr>
            <w:r w:rsidRPr="00CB75F2">
              <w:rPr>
                <w:rFonts w:ascii="Times New Roman" w:eastAsia="標楷體" w:hAnsi="Times New Roman"/>
                <w:lang w:bidi="en-US"/>
              </w:rPr>
              <w:t>Photo 2.</w:t>
            </w:r>
            <w:r w:rsidR="00E5795A">
              <w:rPr>
                <w:rFonts w:ascii="Times New Roman" w:eastAsia="標楷體" w:hAnsi="Times New Roman" w:hint="eastAsia"/>
                <w:lang w:bidi="en-US"/>
              </w:rPr>
              <w:t xml:space="preserve"> </w:t>
            </w:r>
            <w:r w:rsidR="00310E9A" w:rsidRPr="00310E9A">
              <w:rPr>
                <w:rFonts w:ascii="Times New Roman" w:eastAsia="標楷體" w:hAnsi="Times New Roman"/>
                <w:lang w:bidi="en-US"/>
              </w:rPr>
              <w:t>Offshore Wind Energy Employment Training Course</w:t>
            </w:r>
            <w:r w:rsidR="00985A01">
              <w:rPr>
                <w:rFonts w:ascii="Arial" w:hAnsi="Arial" w:cs="Arial"/>
                <w:color w:val="474747"/>
                <w:sz w:val="21"/>
                <w:szCs w:val="21"/>
                <w:shd w:val="clear" w:color="auto" w:fill="FFFFFF"/>
              </w:rPr>
              <w:t>—</w:t>
            </w:r>
            <w:r w:rsidR="00481D4A">
              <w:rPr>
                <w:rFonts w:ascii="Times New Roman" w:eastAsia="標楷體" w:hAnsi="Times New Roman"/>
                <w:lang w:bidi="en-US"/>
              </w:rPr>
              <w:t>F</w:t>
            </w:r>
            <w:r w:rsidR="00310E9A" w:rsidRPr="00310E9A">
              <w:rPr>
                <w:rFonts w:ascii="Times New Roman" w:eastAsia="標楷體" w:hAnsi="Times New Roman"/>
                <w:lang w:bidi="en-US"/>
              </w:rPr>
              <w:t>ield visit to Siemens Gamesa Renewable Energy’s Taichung Port Nacelle Factory</w:t>
            </w:r>
          </w:p>
        </w:tc>
      </w:tr>
    </w:tbl>
    <w:p w14:paraId="3161640B" w14:textId="77777777" w:rsidR="003919B7" w:rsidRPr="00CB75F2" w:rsidRDefault="003919B7" w:rsidP="00EA316B">
      <w:pPr>
        <w:rPr>
          <w:rFonts w:ascii="Times New Roman" w:eastAsia="標楷體" w:hAnsi="Times New Roman"/>
          <w:lang w:eastAsia="zh-CN"/>
        </w:rPr>
      </w:pPr>
    </w:p>
    <w:sectPr w:rsidR="003919B7" w:rsidRPr="00CB75F2" w:rsidSect="0063336C">
      <w:headerReference w:type="even" r:id="rId12"/>
      <w:headerReference w:type="default" r:id="rId13"/>
      <w:footerReference w:type="even" r:id="rId14"/>
      <w:footerReference w:type="default" r:id="rId15"/>
      <w:headerReference w:type="first" r:id="rId16"/>
      <w:footerReference w:type="first" r:id="rId17"/>
      <w:pgSz w:w="11906" w:h="16838"/>
      <w:pgMar w:top="454" w:right="794" w:bottom="454" w:left="79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E4AA" w14:textId="77777777" w:rsidR="00FE749F" w:rsidRDefault="00FE749F" w:rsidP="00C07CBF">
      <w:r>
        <w:separator/>
      </w:r>
    </w:p>
  </w:endnote>
  <w:endnote w:type="continuationSeparator" w:id="0">
    <w:p w14:paraId="2225EA42" w14:textId="77777777" w:rsidR="00FE749F" w:rsidRDefault="00FE749F"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B18E" w14:textId="77777777" w:rsidR="00CE1493" w:rsidRDefault="00CE149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2FD6" w14:textId="77777777" w:rsidR="00CE1493" w:rsidRDefault="00CE14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B5D" w14:textId="77777777" w:rsidR="00CE1493" w:rsidRDefault="00CE14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8E1D" w14:textId="77777777" w:rsidR="00FE749F" w:rsidRDefault="00FE749F" w:rsidP="00C07CBF">
      <w:r>
        <w:separator/>
      </w:r>
    </w:p>
  </w:footnote>
  <w:footnote w:type="continuationSeparator" w:id="0">
    <w:p w14:paraId="69DB5D10" w14:textId="77777777" w:rsidR="00FE749F" w:rsidRDefault="00FE749F" w:rsidP="00C0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E13F" w14:textId="77777777" w:rsidR="00CE1493" w:rsidRDefault="00CE14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553E" w14:textId="77777777" w:rsidR="00CE1493" w:rsidRDefault="00CE149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0C72" w14:textId="77777777" w:rsidR="00CE1493" w:rsidRDefault="00CE14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7"/>
  </w:num>
  <w:num w:numId="4">
    <w:abstractNumId w:val="3"/>
  </w:num>
  <w:num w:numId="5">
    <w:abstractNumId w:val="5"/>
  </w:num>
  <w:num w:numId="6">
    <w:abstractNumId w:val="10"/>
  </w:num>
  <w:num w:numId="7">
    <w:abstractNumId w:val="8"/>
  </w:num>
  <w:num w:numId="8">
    <w:abstractNumId w:val="11"/>
  </w:num>
  <w:num w:numId="9">
    <w:abstractNumId w:val="0"/>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3435"/>
    <w:rsid w:val="00016374"/>
    <w:rsid w:val="00020BC9"/>
    <w:rsid w:val="0002209B"/>
    <w:rsid w:val="00046CD9"/>
    <w:rsid w:val="00066B0A"/>
    <w:rsid w:val="000728EC"/>
    <w:rsid w:val="00077501"/>
    <w:rsid w:val="000812AD"/>
    <w:rsid w:val="00086F88"/>
    <w:rsid w:val="00093890"/>
    <w:rsid w:val="0009472F"/>
    <w:rsid w:val="000A585A"/>
    <w:rsid w:val="000A6124"/>
    <w:rsid w:val="000C3D4F"/>
    <w:rsid w:val="000D7F86"/>
    <w:rsid w:val="000E56BF"/>
    <w:rsid w:val="000E7535"/>
    <w:rsid w:val="000F63FC"/>
    <w:rsid w:val="00101D7E"/>
    <w:rsid w:val="00103915"/>
    <w:rsid w:val="00114A99"/>
    <w:rsid w:val="00116906"/>
    <w:rsid w:val="00125AA9"/>
    <w:rsid w:val="001503F9"/>
    <w:rsid w:val="001518CA"/>
    <w:rsid w:val="0016167D"/>
    <w:rsid w:val="0016335E"/>
    <w:rsid w:val="00170E3B"/>
    <w:rsid w:val="001769D2"/>
    <w:rsid w:val="00181AF3"/>
    <w:rsid w:val="00184074"/>
    <w:rsid w:val="00187017"/>
    <w:rsid w:val="0019455C"/>
    <w:rsid w:val="001C006F"/>
    <w:rsid w:val="00201493"/>
    <w:rsid w:val="00205931"/>
    <w:rsid w:val="002220CE"/>
    <w:rsid w:val="0022297F"/>
    <w:rsid w:val="0022391C"/>
    <w:rsid w:val="002261AE"/>
    <w:rsid w:val="0022705E"/>
    <w:rsid w:val="002316D7"/>
    <w:rsid w:val="002320E0"/>
    <w:rsid w:val="0024372A"/>
    <w:rsid w:val="00251038"/>
    <w:rsid w:val="00260440"/>
    <w:rsid w:val="002675D1"/>
    <w:rsid w:val="00270CFE"/>
    <w:rsid w:val="002A44FB"/>
    <w:rsid w:val="002C360E"/>
    <w:rsid w:val="002C3AF6"/>
    <w:rsid w:val="002C4EF8"/>
    <w:rsid w:val="002E42FE"/>
    <w:rsid w:val="002F3FC6"/>
    <w:rsid w:val="00306B71"/>
    <w:rsid w:val="00310E9A"/>
    <w:rsid w:val="00310F31"/>
    <w:rsid w:val="003459DE"/>
    <w:rsid w:val="00370C50"/>
    <w:rsid w:val="00374A88"/>
    <w:rsid w:val="00376888"/>
    <w:rsid w:val="003919B7"/>
    <w:rsid w:val="003A319B"/>
    <w:rsid w:val="003A45E3"/>
    <w:rsid w:val="003A5B75"/>
    <w:rsid w:val="003A6938"/>
    <w:rsid w:val="003B1343"/>
    <w:rsid w:val="003B3A43"/>
    <w:rsid w:val="003C1962"/>
    <w:rsid w:val="003D17FB"/>
    <w:rsid w:val="003D5AA8"/>
    <w:rsid w:val="0040031E"/>
    <w:rsid w:val="00402534"/>
    <w:rsid w:val="004028D7"/>
    <w:rsid w:val="00403B51"/>
    <w:rsid w:val="00405C2B"/>
    <w:rsid w:val="004076AE"/>
    <w:rsid w:val="0041353B"/>
    <w:rsid w:val="00420926"/>
    <w:rsid w:val="0044438C"/>
    <w:rsid w:val="00453285"/>
    <w:rsid w:val="00477DBF"/>
    <w:rsid w:val="00481D4A"/>
    <w:rsid w:val="00487AD4"/>
    <w:rsid w:val="00487D90"/>
    <w:rsid w:val="00492989"/>
    <w:rsid w:val="004B1399"/>
    <w:rsid w:val="004B13FF"/>
    <w:rsid w:val="004B6782"/>
    <w:rsid w:val="004C0BFE"/>
    <w:rsid w:val="004E47BD"/>
    <w:rsid w:val="004F53AA"/>
    <w:rsid w:val="004F5F6E"/>
    <w:rsid w:val="0053107A"/>
    <w:rsid w:val="00535C97"/>
    <w:rsid w:val="005362A4"/>
    <w:rsid w:val="00562CE4"/>
    <w:rsid w:val="00564B47"/>
    <w:rsid w:val="005678C4"/>
    <w:rsid w:val="00577F38"/>
    <w:rsid w:val="00592A64"/>
    <w:rsid w:val="005A485C"/>
    <w:rsid w:val="005B1CFB"/>
    <w:rsid w:val="005B3E6E"/>
    <w:rsid w:val="005D05EF"/>
    <w:rsid w:val="005D1F7B"/>
    <w:rsid w:val="005D454C"/>
    <w:rsid w:val="00604BD8"/>
    <w:rsid w:val="00621A1D"/>
    <w:rsid w:val="0063336C"/>
    <w:rsid w:val="00650352"/>
    <w:rsid w:val="00650BF6"/>
    <w:rsid w:val="006854A0"/>
    <w:rsid w:val="00687DD5"/>
    <w:rsid w:val="00690FB7"/>
    <w:rsid w:val="00695198"/>
    <w:rsid w:val="006B5696"/>
    <w:rsid w:val="006B6FBD"/>
    <w:rsid w:val="006D35CE"/>
    <w:rsid w:val="006E2A81"/>
    <w:rsid w:val="006E6207"/>
    <w:rsid w:val="00702565"/>
    <w:rsid w:val="00713A06"/>
    <w:rsid w:val="00725E92"/>
    <w:rsid w:val="00730BC7"/>
    <w:rsid w:val="00764D7B"/>
    <w:rsid w:val="007709EA"/>
    <w:rsid w:val="007723F2"/>
    <w:rsid w:val="007735B0"/>
    <w:rsid w:val="00780941"/>
    <w:rsid w:val="00792D25"/>
    <w:rsid w:val="007A29FC"/>
    <w:rsid w:val="007B0792"/>
    <w:rsid w:val="007C7F3A"/>
    <w:rsid w:val="007D1A22"/>
    <w:rsid w:val="007D78DA"/>
    <w:rsid w:val="0080286E"/>
    <w:rsid w:val="00803B02"/>
    <w:rsid w:val="008045BD"/>
    <w:rsid w:val="00807E3B"/>
    <w:rsid w:val="0081126C"/>
    <w:rsid w:val="008157D6"/>
    <w:rsid w:val="00820B67"/>
    <w:rsid w:val="008244AD"/>
    <w:rsid w:val="008322B2"/>
    <w:rsid w:val="0083576E"/>
    <w:rsid w:val="0084490B"/>
    <w:rsid w:val="00853FFC"/>
    <w:rsid w:val="00873948"/>
    <w:rsid w:val="0088488C"/>
    <w:rsid w:val="00886BFE"/>
    <w:rsid w:val="008C497E"/>
    <w:rsid w:val="008E08A3"/>
    <w:rsid w:val="008E4047"/>
    <w:rsid w:val="008E4314"/>
    <w:rsid w:val="0090765B"/>
    <w:rsid w:val="0091257E"/>
    <w:rsid w:val="0091346B"/>
    <w:rsid w:val="00913FB9"/>
    <w:rsid w:val="00915907"/>
    <w:rsid w:val="00921B71"/>
    <w:rsid w:val="009234E1"/>
    <w:rsid w:val="009265AB"/>
    <w:rsid w:val="00930EB3"/>
    <w:rsid w:val="009349D4"/>
    <w:rsid w:val="009422A0"/>
    <w:rsid w:val="00945246"/>
    <w:rsid w:val="00957D95"/>
    <w:rsid w:val="009622AC"/>
    <w:rsid w:val="0097687D"/>
    <w:rsid w:val="00985A01"/>
    <w:rsid w:val="00987A18"/>
    <w:rsid w:val="009910C5"/>
    <w:rsid w:val="00992EBD"/>
    <w:rsid w:val="009A560D"/>
    <w:rsid w:val="009A5B10"/>
    <w:rsid w:val="009B6F85"/>
    <w:rsid w:val="009C1D75"/>
    <w:rsid w:val="009C40FA"/>
    <w:rsid w:val="009D45E9"/>
    <w:rsid w:val="009D6FFC"/>
    <w:rsid w:val="00A104DB"/>
    <w:rsid w:val="00A10E61"/>
    <w:rsid w:val="00A132A4"/>
    <w:rsid w:val="00A15F8A"/>
    <w:rsid w:val="00A2346E"/>
    <w:rsid w:val="00A30655"/>
    <w:rsid w:val="00A32995"/>
    <w:rsid w:val="00A33FE5"/>
    <w:rsid w:val="00A40CBB"/>
    <w:rsid w:val="00A41207"/>
    <w:rsid w:val="00A50B66"/>
    <w:rsid w:val="00A72B69"/>
    <w:rsid w:val="00A8408B"/>
    <w:rsid w:val="00A85C5D"/>
    <w:rsid w:val="00AA6E04"/>
    <w:rsid w:val="00AB0510"/>
    <w:rsid w:val="00AB30A0"/>
    <w:rsid w:val="00AE2A56"/>
    <w:rsid w:val="00B14A84"/>
    <w:rsid w:val="00B26D70"/>
    <w:rsid w:val="00B3134C"/>
    <w:rsid w:val="00B43D32"/>
    <w:rsid w:val="00B534A2"/>
    <w:rsid w:val="00B537FD"/>
    <w:rsid w:val="00B64A5E"/>
    <w:rsid w:val="00B65D83"/>
    <w:rsid w:val="00B70570"/>
    <w:rsid w:val="00B7306D"/>
    <w:rsid w:val="00B76B39"/>
    <w:rsid w:val="00B801F7"/>
    <w:rsid w:val="00B90844"/>
    <w:rsid w:val="00B92A1D"/>
    <w:rsid w:val="00BA78D0"/>
    <w:rsid w:val="00BB0C0F"/>
    <w:rsid w:val="00BC56F7"/>
    <w:rsid w:val="00BC5CC1"/>
    <w:rsid w:val="00BC69A9"/>
    <w:rsid w:val="00BD0040"/>
    <w:rsid w:val="00BE1B04"/>
    <w:rsid w:val="00BF03A5"/>
    <w:rsid w:val="00BF119B"/>
    <w:rsid w:val="00C07CBF"/>
    <w:rsid w:val="00C07F0C"/>
    <w:rsid w:val="00C32F71"/>
    <w:rsid w:val="00C340DA"/>
    <w:rsid w:val="00C350D0"/>
    <w:rsid w:val="00C5336D"/>
    <w:rsid w:val="00C5393C"/>
    <w:rsid w:val="00C66924"/>
    <w:rsid w:val="00C80C28"/>
    <w:rsid w:val="00C82D7C"/>
    <w:rsid w:val="00C85024"/>
    <w:rsid w:val="00C853ED"/>
    <w:rsid w:val="00C90C2E"/>
    <w:rsid w:val="00CA7BFA"/>
    <w:rsid w:val="00CB75F2"/>
    <w:rsid w:val="00CC0D39"/>
    <w:rsid w:val="00CD084C"/>
    <w:rsid w:val="00CD2D8A"/>
    <w:rsid w:val="00CE1493"/>
    <w:rsid w:val="00D07865"/>
    <w:rsid w:val="00D17038"/>
    <w:rsid w:val="00D24F29"/>
    <w:rsid w:val="00D25E5A"/>
    <w:rsid w:val="00D53751"/>
    <w:rsid w:val="00D56202"/>
    <w:rsid w:val="00D714C5"/>
    <w:rsid w:val="00D744E5"/>
    <w:rsid w:val="00D82B5A"/>
    <w:rsid w:val="00DA3923"/>
    <w:rsid w:val="00DC5AB5"/>
    <w:rsid w:val="00DD1F14"/>
    <w:rsid w:val="00DD3945"/>
    <w:rsid w:val="00DD5794"/>
    <w:rsid w:val="00DE1115"/>
    <w:rsid w:val="00DE4CE0"/>
    <w:rsid w:val="00DE57F7"/>
    <w:rsid w:val="00DF78C1"/>
    <w:rsid w:val="00E0048D"/>
    <w:rsid w:val="00E219FF"/>
    <w:rsid w:val="00E54E8C"/>
    <w:rsid w:val="00E57164"/>
    <w:rsid w:val="00E5795A"/>
    <w:rsid w:val="00E67F32"/>
    <w:rsid w:val="00E736F9"/>
    <w:rsid w:val="00E86E63"/>
    <w:rsid w:val="00E95937"/>
    <w:rsid w:val="00E974C5"/>
    <w:rsid w:val="00EA19CE"/>
    <w:rsid w:val="00EA316B"/>
    <w:rsid w:val="00EC67E7"/>
    <w:rsid w:val="00EF2E66"/>
    <w:rsid w:val="00F4189A"/>
    <w:rsid w:val="00F442B6"/>
    <w:rsid w:val="00F567B8"/>
    <w:rsid w:val="00F56E75"/>
    <w:rsid w:val="00F8041E"/>
    <w:rsid w:val="00F86D9B"/>
    <w:rsid w:val="00F94BED"/>
    <w:rsid w:val="00FA70D9"/>
    <w:rsid w:val="00FD21A9"/>
    <w:rsid w:val="00FD45EF"/>
    <w:rsid w:val="00FD75AC"/>
    <w:rsid w:val="00FD7C8E"/>
    <w:rsid w:val="00FE74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7FE11"/>
  <w15:chartTrackingRefBased/>
  <w15:docId w15:val="{B10BC656-61E8-48C7-8BB4-603BB55E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character" w:styleId="a9">
    <w:name w:val="Hyperlink"/>
    <w:uiPriority w:val="99"/>
    <w:unhideWhenUsed/>
    <w:rsid w:val="003919B7"/>
    <w:rPr>
      <w:color w:val="0563C1"/>
      <w:u w:val="single"/>
    </w:rPr>
  </w:style>
  <w:style w:type="character" w:styleId="aa">
    <w:name w:val="Unresolved Mention"/>
    <w:uiPriority w:val="99"/>
    <w:semiHidden/>
    <w:unhideWhenUsed/>
    <w:rsid w:val="009D6FFC"/>
    <w:rPr>
      <w:color w:val="605E5C"/>
      <w:shd w:val="clear" w:color="auto" w:fill="E1DFDD"/>
    </w:rPr>
  </w:style>
  <w:style w:type="character" w:styleId="ab">
    <w:name w:val="FollowedHyperlink"/>
    <w:uiPriority w:val="99"/>
    <w:semiHidden/>
    <w:unhideWhenUsed/>
    <w:rsid w:val="009A5B1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ite.taiwanjobs.gov.tw/ClassSearch/Detail?UUID=F5C9C5E153814D3A8D222CCF078C842E&amp;SOURCE_TYPE=ELIT"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57EB-945D-4FEB-A7BD-AC455510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4429</Characters>
  <Application>Microsoft Office Word</Application>
  <DocSecurity>0</DocSecurity>
  <Lines>36</Lines>
  <Paragraphs>10</Paragraphs>
  <ScaleCrop>false</ScaleCrop>
  <Company>mirdc</Company>
  <LinksUpToDate>false</LinksUpToDate>
  <CharactersWithSpaces>5196</CharactersWithSpaces>
  <SharedDoc>false</SharedDoc>
  <HLinks>
    <vt:vector size="6" baseType="variant">
      <vt:variant>
        <vt:i4>7471175</vt:i4>
      </vt:variant>
      <vt:variant>
        <vt:i4>0</vt:i4>
      </vt:variant>
      <vt:variant>
        <vt:i4>0</vt:i4>
      </vt:variant>
      <vt:variant>
        <vt:i4>5</vt:i4>
      </vt:variant>
      <vt:variant>
        <vt:lpwstr>https://elite.taiwanjobs.gov.tw/ClassSearch/Detail?UUID=F5C9C5E153814D3A8D222CCF078C842E&amp;SOURCE_TYPE=ELIT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2024-09-30T01:33:00Z</cp:lastPrinted>
  <dcterms:created xsi:type="dcterms:W3CDTF">2025-05-15T01:03:00Z</dcterms:created>
  <dcterms:modified xsi:type="dcterms:W3CDTF">2025-05-15T01:03:00Z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4d471860987cda424be5088801e6d89be7e7c89cb6f0351df6b116df5e70a4c4</vt:lpwstr>
  </property>
</Properties>
</file>