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51120D" w:rsidRPr="00B11018" w14:paraId="03A3B210" w14:textId="77777777" w:rsidTr="00E576B1">
        <w:trPr>
          <w:trHeight w:val="847"/>
        </w:trPr>
        <w:tc>
          <w:tcPr>
            <w:tcW w:w="10308" w:type="dxa"/>
          </w:tcPr>
          <w:p w14:paraId="4BECC99B" w14:textId="77777777" w:rsidR="00AD4383" w:rsidRPr="00B11018" w:rsidRDefault="003A4CD1" w:rsidP="00AD4383">
            <w:pPr>
              <w:spacing w:beforeLines="50" w:before="180"/>
              <w:rPr>
                <w:rFonts w:ascii="Times New Roman" w:eastAsia="標楷體" w:hAnsi="Times New Roman"/>
                <w:b/>
                <w:color w:val="000000" w:themeColor="text1"/>
                <w:sz w:val="56"/>
                <w:u w:val="single"/>
              </w:rPr>
            </w:pPr>
            <w:r w:rsidRPr="00B11018">
              <w:rPr>
                <w:rFonts w:ascii="Times New Roman" w:eastAsia="標楷體" w:hAnsi="Times New Roman"/>
                <w:b/>
                <w:noProof/>
                <w:sz w:val="56"/>
                <w:lang w:bidi="en-US"/>
              </w:rPr>
              <w:drawing>
                <wp:anchor distT="0" distB="0" distL="114300" distR="114300" simplePos="0" relativeHeight="251656704" behindDoc="0" locked="0" layoutInCell="1" allowOverlap="1" wp14:anchorId="308E4751" wp14:editId="5D52B289">
                  <wp:simplePos x="0" y="0"/>
                  <wp:positionH relativeFrom="column">
                    <wp:posOffset>640080</wp:posOffset>
                  </wp:positionH>
                  <wp:positionV relativeFrom="paragraph">
                    <wp:posOffset>127635</wp:posOffset>
                  </wp:positionV>
                  <wp:extent cx="508635" cy="508635"/>
                  <wp:effectExtent l="0" t="0" r="0" b="0"/>
                  <wp:wrapSquare wrapText="bothSides"/>
                  <wp:docPr id="4"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383" w:rsidRPr="00B11018">
              <w:rPr>
                <w:rFonts w:ascii="Times New Roman" w:eastAsia="標楷體" w:hAnsi="Times New Roman"/>
                <w:lang w:bidi="en-US"/>
              </w:rPr>
              <w:br w:type="page"/>
            </w:r>
            <w:r w:rsidR="00AD4383" w:rsidRPr="00B11018">
              <w:rPr>
                <w:rFonts w:ascii="Times New Roman" w:eastAsia="標楷體" w:hAnsi="Times New Roman"/>
                <w:b/>
                <w:sz w:val="56"/>
                <w:lang w:bidi="en-US"/>
              </w:rPr>
              <w:t xml:space="preserve">    </w:t>
            </w:r>
            <w:r w:rsidR="00AD4383" w:rsidRPr="00B11018">
              <w:rPr>
                <w:rFonts w:ascii="Times New Roman" w:eastAsia="標楷體" w:hAnsi="Times New Roman"/>
                <w:b/>
                <w:sz w:val="56"/>
                <w:u w:val="single"/>
                <w:lang w:bidi="en-US"/>
              </w:rPr>
              <w:t>新聞資料</w:t>
            </w:r>
            <w:r w:rsidR="00AD4383" w:rsidRPr="00B11018">
              <w:rPr>
                <w:rFonts w:ascii="Times New Roman" w:eastAsia="標楷體" w:hAnsi="Times New Roman"/>
                <w:b/>
                <w:sz w:val="56"/>
                <w:u w:val="single"/>
                <w:lang w:bidi="en-US"/>
              </w:rPr>
              <w:t>NEWS LETTER</w:t>
            </w:r>
          </w:p>
          <w:p w14:paraId="573EA041" w14:textId="607611CA" w:rsidR="0078021D" w:rsidRPr="00B11018" w:rsidRDefault="0078021D" w:rsidP="00C60F0B">
            <w:pPr>
              <w:jc w:val="center"/>
              <w:rPr>
                <w:rFonts w:ascii="Times New Roman" w:eastAsia="標楷體" w:hAnsi="Times New Roman"/>
                <w:b/>
                <w:noProof/>
                <w:color w:val="000000" w:themeColor="text1"/>
                <w:sz w:val="44"/>
                <w:szCs w:val="44"/>
              </w:rPr>
            </w:pPr>
            <w:r w:rsidRPr="00B11018">
              <w:rPr>
                <w:rFonts w:ascii="Times New Roman" w:eastAsia="標楷體" w:hAnsi="Times New Roman"/>
                <w:b/>
                <w:noProof/>
                <w:sz w:val="44"/>
                <w:lang w:bidi="en-US"/>
              </w:rPr>
              <w:t>Accelerating Net Zero Transformation! MIRDC Partners with Chunghwa Telecom to Lead Domestic Industries Towards Net Zero Emissions by 2050</w:t>
            </w:r>
          </w:p>
          <w:p w14:paraId="353B4693" w14:textId="05EC3009" w:rsidR="003E2160" w:rsidRPr="00B11018" w:rsidRDefault="003E2160" w:rsidP="009C796E">
            <w:pPr>
              <w:jc w:val="center"/>
              <w:rPr>
                <w:rFonts w:ascii="Times New Roman" w:eastAsia="標楷體" w:hAnsi="Times New Roman"/>
                <w:b/>
                <w:noProof/>
                <w:color w:val="000000" w:themeColor="text1"/>
                <w:sz w:val="44"/>
                <w:szCs w:val="44"/>
              </w:rPr>
            </w:pPr>
          </w:p>
          <w:p w14:paraId="682C8EA4" w14:textId="68C7514C" w:rsidR="0078021D" w:rsidRPr="007A01E8" w:rsidRDefault="0078021D" w:rsidP="0078021D">
            <w:pPr>
              <w:tabs>
                <w:tab w:val="left" w:pos="589"/>
              </w:tabs>
              <w:spacing w:line="480" w:lineRule="exact"/>
              <w:jc w:val="both"/>
              <w:rPr>
                <w:rFonts w:ascii="Times New Roman" w:eastAsia="標楷體" w:hAnsi="Times New Roman"/>
                <w:sz w:val="28"/>
                <w:szCs w:val="28"/>
              </w:rPr>
            </w:pPr>
            <w:r w:rsidRPr="007A01E8">
              <w:rPr>
                <w:rFonts w:ascii="Times New Roman" w:eastAsia="標楷體" w:hAnsi="Times New Roman"/>
                <w:sz w:val="28"/>
                <w:lang w:bidi="en-US"/>
              </w:rPr>
              <w:t xml:space="preserve">In response to the global wave of energy </w:t>
            </w:r>
            <w:r w:rsidR="00B61912" w:rsidRPr="007A01E8">
              <w:rPr>
                <w:rFonts w:ascii="Times New Roman" w:eastAsia="標楷體" w:hAnsi="Times New Roman" w:hint="eastAsia"/>
                <w:sz w:val="28"/>
                <w:lang w:bidi="en-US"/>
              </w:rPr>
              <w:t>saving</w:t>
            </w:r>
            <w:r w:rsidRPr="007A01E8">
              <w:rPr>
                <w:rFonts w:ascii="Times New Roman" w:eastAsia="標楷體" w:hAnsi="Times New Roman"/>
                <w:sz w:val="28"/>
                <w:lang w:bidi="en-US"/>
              </w:rPr>
              <w:t xml:space="preserve"> and carbon reduction, the government has accelerated the development of green energy. In 2022, the Executive Yuan issued the "Taiwan’s Pathway to Net-Zero Emissions in 2050 Strategy Overview", </w:t>
            </w:r>
            <w:r w:rsidR="009C098F" w:rsidRPr="007A01E8">
              <w:rPr>
                <w:rFonts w:ascii="Times New Roman" w:eastAsia="標楷體" w:hAnsi="Times New Roman"/>
                <w:sz w:val="28"/>
                <w:lang w:bidi="en-US"/>
              </w:rPr>
              <w:t>which is expected to assist</w:t>
            </w:r>
            <w:r w:rsidRPr="007A01E8">
              <w:rPr>
                <w:rFonts w:ascii="Times New Roman" w:eastAsia="標楷體" w:hAnsi="Times New Roman"/>
                <w:sz w:val="28"/>
                <w:lang w:bidi="en-US"/>
              </w:rPr>
              <w:t xml:space="preserve"> the industry's net</w:t>
            </w:r>
            <w:r w:rsidR="00B61912" w:rsidRPr="007A01E8">
              <w:rPr>
                <w:rFonts w:ascii="Times New Roman" w:eastAsia="標楷體" w:hAnsi="Times New Roman" w:hint="eastAsia"/>
                <w:sz w:val="28"/>
                <w:lang w:bidi="en-US"/>
              </w:rPr>
              <w:t>-</w:t>
            </w:r>
            <w:r w:rsidRPr="007A01E8">
              <w:rPr>
                <w:rFonts w:ascii="Times New Roman" w:eastAsia="標楷體" w:hAnsi="Times New Roman"/>
                <w:sz w:val="28"/>
                <w:lang w:bidi="en-US"/>
              </w:rPr>
              <w:t xml:space="preserve">zero </w:t>
            </w:r>
            <w:r w:rsidR="00B61912" w:rsidRPr="007A01E8">
              <w:rPr>
                <w:rFonts w:ascii="Times New Roman" w:eastAsia="標楷體" w:hAnsi="Times New Roman"/>
                <w:sz w:val="28"/>
                <w:lang w:bidi="en-US"/>
              </w:rPr>
              <w:t>transition</w:t>
            </w:r>
            <w:r w:rsidRPr="007A01E8">
              <w:rPr>
                <w:rFonts w:ascii="Times New Roman" w:eastAsia="標楷體" w:hAnsi="Times New Roman"/>
                <w:sz w:val="28"/>
                <w:lang w:bidi="en-US"/>
              </w:rPr>
              <w:t xml:space="preserve"> through the model of "supporting major enterprises to lead smaller businesses”, integrating industry associations and supply chain manufacturers</w:t>
            </w:r>
            <w:r w:rsidR="00B61912" w:rsidRPr="007A01E8">
              <w:rPr>
                <w:rFonts w:ascii="Times New Roman" w:eastAsia="標楷體" w:hAnsi="Times New Roman" w:hint="eastAsia"/>
                <w:sz w:val="28"/>
                <w:lang w:bidi="en-US"/>
              </w:rPr>
              <w:t xml:space="preserve">, </w:t>
            </w:r>
            <w:r w:rsidRPr="007A01E8">
              <w:rPr>
                <w:rFonts w:ascii="Times New Roman" w:eastAsia="標楷體" w:hAnsi="Times New Roman"/>
                <w:sz w:val="28"/>
                <w:lang w:bidi="en-US"/>
              </w:rPr>
              <w:t xml:space="preserve">and </w:t>
            </w:r>
            <w:r w:rsidR="00B61912" w:rsidRPr="007A01E8">
              <w:rPr>
                <w:rFonts w:ascii="Times New Roman" w:eastAsia="標楷體" w:hAnsi="Times New Roman"/>
                <w:sz w:val="28"/>
                <w:lang w:bidi="en-US"/>
              </w:rPr>
              <w:t xml:space="preserve">setting </w:t>
            </w:r>
            <w:r w:rsidRPr="007A01E8">
              <w:rPr>
                <w:rFonts w:ascii="Times New Roman" w:eastAsia="標楷體" w:hAnsi="Times New Roman"/>
                <w:sz w:val="28"/>
                <w:lang w:bidi="en-US"/>
              </w:rPr>
              <w:t xml:space="preserve">state-owned enterprises </w:t>
            </w:r>
            <w:r w:rsidR="00B61912" w:rsidRPr="007A01E8">
              <w:rPr>
                <w:rFonts w:ascii="Times New Roman" w:eastAsia="標楷體" w:hAnsi="Times New Roman" w:hint="eastAsia"/>
                <w:sz w:val="28"/>
                <w:lang w:bidi="en-US"/>
              </w:rPr>
              <w:t xml:space="preserve">as </w:t>
            </w:r>
            <w:r w:rsidRPr="007A01E8">
              <w:rPr>
                <w:rFonts w:ascii="Times New Roman" w:eastAsia="標楷體" w:hAnsi="Times New Roman"/>
                <w:sz w:val="28"/>
                <w:lang w:bidi="en-US"/>
              </w:rPr>
              <w:t>example</w:t>
            </w:r>
            <w:r w:rsidR="00B61912" w:rsidRPr="007A01E8">
              <w:rPr>
                <w:rFonts w:ascii="Times New Roman" w:eastAsia="標楷體" w:hAnsi="Times New Roman" w:hint="eastAsia"/>
                <w:sz w:val="28"/>
                <w:lang w:bidi="en-US"/>
              </w:rPr>
              <w:t>s</w:t>
            </w:r>
            <w:r w:rsidRPr="007A01E8">
              <w:rPr>
                <w:rFonts w:ascii="Times New Roman" w:eastAsia="標楷體" w:hAnsi="Times New Roman"/>
                <w:sz w:val="28"/>
                <w:lang w:bidi="en-US"/>
              </w:rPr>
              <w:t xml:space="preserve">. </w:t>
            </w:r>
            <w:r w:rsidR="00B61912" w:rsidRPr="007A01E8">
              <w:rPr>
                <w:rFonts w:ascii="Times New Roman" w:eastAsia="標楷體" w:hAnsi="Times New Roman"/>
                <w:sz w:val="28"/>
                <w:lang w:bidi="en-US"/>
              </w:rPr>
              <w:t xml:space="preserve">To align </w:t>
            </w:r>
            <w:r w:rsidRPr="007A01E8">
              <w:rPr>
                <w:rFonts w:ascii="Times New Roman" w:eastAsia="標楷體" w:hAnsi="Times New Roman"/>
                <w:sz w:val="28"/>
                <w:lang w:bidi="en-US"/>
              </w:rPr>
              <w:t xml:space="preserve">with the national energy transition policy, </w:t>
            </w:r>
            <w:r w:rsidR="009C098F" w:rsidRPr="007A01E8">
              <w:rPr>
                <w:rFonts w:ascii="Times New Roman" w:eastAsia="標楷體" w:hAnsi="Times New Roman"/>
                <w:sz w:val="28"/>
                <w:lang w:bidi="en-US"/>
              </w:rPr>
              <w:t>Metal Industries Research &amp; Development Centre (MIRDC)</w:t>
            </w:r>
            <w:r w:rsidRPr="007A01E8">
              <w:rPr>
                <w:rFonts w:ascii="Times New Roman" w:eastAsia="標楷體" w:hAnsi="Times New Roman"/>
                <w:sz w:val="28"/>
                <w:lang w:bidi="en-US"/>
              </w:rPr>
              <w:t xml:space="preserve"> and Chunghwa Telecom sign</w:t>
            </w:r>
            <w:r w:rsidR="009C098F" w:rsidRPr="007A01E8">
              <w:rPr>
                <w:rFonts w:ascii="Times New Roman" w:eastAsia="標楷體" w:hAnsi="Times New Roman" w:hint="eastAsia"/>
                <w:sz w:val="28"/>
                <w:lang w:bidi="en-US"/>
              </w:rPr>
              <w:t>ed</w:t>
            </w:r>
            <w:r w:rsidRPr="007A01E8">
              <w:rPr>
                <w:rFonts w:ascii="Times New Roman" w:eastAsia="標楷體" w:hAnsi="Times New Roman"/>
                <w:sz w:val="28"/>
                <w:lang w:bidi="en-US"/>
              </w:rPr>
              <w:t xml:space="preserve"> a "Memorandum of </w:t>
            </w:r>
            <w:r w:rsidR="009C098F" w:rsidRPr="007A01E8">
              <w:rPr>
                <w:rFonts w:ascii="Times New Roman" w:eastAsia="標楷體" w:hAnsi="Times New Roman"/>
                <w:sz w:val="28"/>
                <w:lang w:bidi="en-US"/>
              </w:rPr>
              <w:t>understanding</w:t>
            </w:r>
            <w:r w:rsidRPr="007A01E8">
              <w:rPr>
                <w:rFonts w:ascii="Times New Roman" w:eastAsia="標楷體" w:hAnsi="Times New Roman"/>
                <w:sz w:val="28"/>
                <w:lang w:bidi="en-US"/>
              </w:rPr>
              <w:t xml:space="preserve"> on Promoting Net</w:t>
            </w:r>
            <w:r w:rsidR="009C098F" w:rsidRPr="007A01E8">
              <w:rPr>
                <w:rFonts w:ascii="Times New Roman" w:eastAsia="標楷體" w:hAnsi="Times New Roman" w:hint="eastAsia"/>
                <w:sz w:val="28"/>
                <w:lang w:bidi="en-US"/>
              </w:rPr>
              <w:t>-</w:t>
            </w:r>
            <w:r w:rsidRPr="007A01E8">
              <w:rPr>
                <w:rFonts w:ascii="Times New Roman" w:eastAsia="標楷體" w:hAnsi="Times New Roman"/>
                <w:sz w:val="28"/>
                <w:lang w:bidi="en-US"/>
              </w:rPr>
              <w:t>Zero Transition Services" at the MIRDC headquarters on April 10. As the "major enterprise" expected to “lead smaller businesses”, Chunghwa Telecom will jointly assist the industry in accelerating net-zero transition and look forward to serving as a model of cross-</w:t>
            </w:r>
            <w:r w:rsidR="00B61912" w:rsidRPr="007A01E8">
              <w:t xml:space="preserve"> </w:t>
            </w:r>
            <w:r w:rsidR="00B61912" w:rsidRPr="007A01E8">
              <w:rPr>
                <w:rFonts w:ascii="Times New Roman" w:eastAsia="標楷體" w:hAnsi="Times New Roman"/>
                <w:sz w:val="28"/>
                <w:lang w:bidi="en-US"/>
              </w:rPr>
              <w:t xml:space="preserve">sector </w:t>
            </w:r>
            <w:r w:rsidRPr="007A01E8">
              <w:rPr>
                <w:rFonts w:ascii="Times New Roman" w:eastAsia="標楷體" w:hAnsi="Times New Roman"/>
                <w:sz w:val="28"/>
                <w:lang w:bidi="en-US"/>
              </w:rPr>
              <w:t xml:space="preserve">cooperation. </w:t>
            </w:r>
            <w:r w:rsidR="00B61912" w:rsidRPr="007A01E8">
              <w:rPr>
                <w:rFonts w:ascii="Times New Roman" w:eastAsia="標楷體" w:hAnsi="Times New Roman"/>
                <w:sz w:val="28"/>
                <w:lang w:bidi="en-US"/>
              </w:rPr>
              <w:t xml:space="preserve">Both </w:t>
            </w:r>
            <w:r w:rsidRPr="007A01E8">
              <w:rPr>
                <w:rFonts w:ascii="Times New Roman" w:eastAsia="標楷體" w:hAnsi="Times New Roman"/>
                <w:sz w:val="28"/>
                <w:lang w:bidi="en-US"/>
              </w:rPr>
              <w:t xml:space="preserve">parties will work together on the testing and verification of green energy products and systems to </w:t>
            </w:r>
            <w:r w:rsidR="00B61912" w:rsidRPr="007A01E8">
              <w:rPr>
                <w:rFonts w:ascii="Times New Roman" w:eastAsia="標楷體" w:hAnsi="Times New Roman"/>
                <w:sz w:val="28"/>
                <w:lang w:bidi="en-US"/>
              </w:rPr>
              <w:t>strengthen</w:t>
            </w:r>
            <w:r w:rsidRPr="007A01E8">
              <w:rPr>
                <w:rFonts w:ascii="Times New Roman" w:eastAsia="標楷體" w:hAnsi="Times New Roman"/>
                <w:sz w:val="28"/>
                <w:lang w:bidi="en-US"/>
              </w:rPr>
              <w:t xml:space="preserve"> domestic industry awareness of net</w:t>
            </w:r>
            <w:r w:rsidR="00B61912" w:rsidRPr="007A01E8">
              <w:rPr>
                <w:rFonts w:ascii="Times New Roman" w:eastAsia="標楷體" w:hAnsi="Times New Roman" w:hint="eastAsia"/>
                <w:sz w:val="28"/>
                <w:lang w:bidi="en-US"/>
              </w:rPr>
              <w:t>-</w:t>
            </w:r>
            <w:r w:rsidRPr="007A01E8">
              <w:rPr>
                <w:rFonts w:ascii="Times New Roman" w:eastAsia="標楷體" w:hAnsi="Times New Roman"/>
                <w:sz w:val="28"/>
                <w:lang w:bidi="en-US"/>
              </w:rPr>
              <w:t>zero and green energy.</w:t>
            </w:r>
          </w:p>
          <w:p w14:paraId="04369A30" w14:textId="77777777" w:rsidR="0078021D" w:rsidRPr="007A01E8" w:rsidRDefault="0078021D" w:rsidP="0078021D">
            <w:pPr>
              <w:tabs>
                <w:tab w:val="left" w:pos="589"/>
              </w:tabs>
              <w:spacing w:line="480" w:lineRule="exact"/>
              <w:jc w:val="both"/>
              <w:rPr>
                <w:rFonts w:ascii="Times New Roman" w:eastAsia="標楷體" w:hAnsi="Times New Roman"/>
                <w:sz w:val="28"/>
                <w:szCs w:val="28"/>
              </w:rPr>
            </w:pPr>
          </w:p>
          <w:p w14:paraId="3DC5E66D" w14:textId="2AFF6CBF" w:rsidR="0078021D" w:rsidRPr="007A01E8" w:rsidRDefault="00060FF9" w:rsidP="0078021D">
            <w:pPr>
              <w:tabs>
                <w:tab w:val="left" w:pos="589"/>
              </w:tabs>
              <w:spacing w:line="480" w:lineRule="exact"/>
              <w:jc w:val="both"/>
              <w:rPr>
                <w:rFonts w:ascii="Times New Roman" w:eastAsia="標楷體" w:hAnsi="Times New Roman"/>
                <w:sz w:val="28"/>
                <w:szCs w:val="28"/>
              </w:rPr>
            </w:pPr>
            <w:r w:rsidRPr="007A01E8">
              <w:rPr>
                <w:rFonts w:ascii="Times New Roman" w:eastAsia="標楷體" w:hAnsi="Times New Roman"/>
                <w:sz w:val="28"/>
                <w:lang w:bidi="en-US"/>
              </w:rPr>
              <w:t xml:space="preserve">In terms of carbon reduction pathway objectives, Chunghwa Telecom has set a target of 100% renewable energy </w:t>
            </w:r>
            <w:r w:rsidR="009C098F" w:rsidRPr="007A01E8">
              <w:rPr>
                <w:rFonts w:ascii="Times New Roman" w:eastAsia="標楷體" w:hAnsi="Times New Roman" w:hint="eastAsia"/>
                <w:sz w:val="28"/>
                <w:lang w:bidi="en-US"/>
              </w:rPr>
              <w:t xml:space="preserve">use </w:t>
            </w:r>
            <w:r w:rsidRPr="007A01E8">
              <w:rPr>
                <w:rFonts w:ascii="Times New Roman" w:eastAsia="標楷體" w:hAnsi="Times New Roman"/>
                <w:sz w:val="28"/>
                <w:lang w:bidi="en-US"/>
              </w:rPr>
              <w:t xml:space="preserve">in IDC data centers and </w:t>
            </w:r>
            <w:r w:rsidR="009C098F" w:rsidRPr="007A01E8">
              <w:rPr>
                <w:rFonts w:ascii="Times New Roman" w:eastAsia="標楷體" w:hAnsi="Times New Roman"/>
                <w:sz w:val="28"/>
                <w:lang w:bidi="en-US"/>
              </w:rPr>
              <w:t>adopti</w:t>
            </w:r>
            <w:r w:rsidR="009C098F" w:rsidRPr="007A01E8">
              <w:rPr>
                <w:rFonts w:ascii="Times New Roman" w:eastAsia="標楷體" w:hAnsi="Times New Roman" w:hint="eastAsia"/>
                <w:sz w:val="28"/>
                <w:lang w:bidi="en-US"/>
              </w:rPr>
              <w:t>ng</w:t>
            </w:r>
            <w:r w:rsidRPr="007A01E8">
              <w:rPr>
                <w:rFonts w:ascii="Times New Roman" w:eastAsia="標楷體" w:hAnsi="Times New Roman"/>
                <w:sz w:val="28"/>
                <w:lang w:bidi="en-US"/>
              </w:rPr>
              <w:t xml:space="preserve"> electric vehicles </w:t>
            </w:r>
            <w:r w:rsidR="009C098F" w:rsidRPr="007A01E8">
              <w:rPr>
                <w:rFonts w:ascii="Times New Roman" w:eastAsia="標楷體" w:hAnsi="Times New Roman"/>
                <w:sz w:val="28"/>
                <w:lang w:bidi="en-US"/>
              </w:rPr>
              <w:t>company-wide</w:t>
            </w:r>
            <w:r w:rsidR="009C098F" w:rsidRPr="007A01E8">
              <w:rPr>
                <w:rFonts w:ascii="Times New Roman" w:eastAsia="標楷體" w:hAnsi="Times New Roman" w:hint="eastAsia"/>
                <w:sz w:val="28"/>
                <w:lang w:bidi="en-US"/>
              </w:rPr>
              <w:t xml:space="preserve"> </w:t>
            </w:r>
            <w:r w:rsidRPr="007A01E8">
              <w:rPr>
                <w:rFonts w:ascii="Times New Roman" w:eastAsia="標楷體" w:hAnsi="Times New Roman"/>
                <w:sz w:val="28"/>
                <w:lang w:bidi="en-US"/>
              </w:rPr>
              <w:t>by 2030, and full use of renewable energy (RE100) by 2040. In addition, Chunghwa Telecom has become the only telecommunications operator in Taiwan to have made an early commitment to achieve net zero by 2045. As a leading provider of telecommunications services in Taiwan, Chunghwa Telecom has actively expand</w:t>
            </w:r>
            <w:r w:rsidR="009C098F" w:rsidRPr="007A01E8">
              <w:rPr>
                <w:rFonts w:ascii="Times New Roman" w:eastAsia="標楷體" w:hAnsi="Times New Roman" w:hint="eastAsia"/>
                <w:sz w:val="28"/>
                <w:lang w:bidi="en-US"/>
              </w:rPr>
              <w:t>ed</w:t>
            </w:r>
            <w:r w:rsidRPr="007A01E8">
              <w:rPr>
                <w:rFonts w:ascii="Times New Roman" w:eastAsia="標楷體" w:hAnsi="Times New Roman"/>
                <w:sz w:val="28"/>
                <w:lang w:bidi="en-US"/>
              </w:rPr>
              <w:t xml:space="preserve"> its green energy business in recent years, leveraging its physical channels as well as </w:t>
            </w:r>
            <w:r w:rsidRPr="007A01E8">
              <w:rPr>
                <w:rFonts w:ascii="Times New Roman" w:eastAsia="標楷體" w:hAnsi="Times New Roman"/>
                <w:sz w:val="28"/>
                <w:lang w:bidi="en-US"/>
              </w:rPr>
              <w:lastRenderedPageBreak/>
              <w:t xml:space="preserve">commercial and industrial customer resources to </w:t>
            </w:r>
            <w:r w:rsidR="009C098F" w:rsidRPr="007A01E8">
              <w:rPr>
                <w:rFonts w:ascii="Times New Roman" w:eastAsia="標楷體" w:hAnsi="Times New Roman" w:hint="eastAsia"/>
                <w:sz w:val="28"/>
                <w:lang w:bidi="en-US"/>
              </w:rPr>
              <w:t>support</w:t>
            </w:r>
            <w:r w:rsidRPr="007A01E8">
              <w:rPr>
                <w:rFonts w:ascii="Times New Roman" w:eastAsia="標楷體" w:hAnsi="Times New Roman"/>
                <w:sz w:val="28"/>
                <w:lang w:bidi="en-US"/>
              </w:rPr>
              <w:t xml:space="preserve"> industries </w:t>
            </w:r>
            <w:r w:rsidR="00B61912" w:rsidRPr="007A01E8">
              <w:rPr>
                <w:rFonts w:ascii="Times New Roman" w:eastAsia="標楷體" w:hAnsi="Times New Roman" w:hint="eastAsia"/>
                <w:sz w:val="28"/>
                <w:lang w:bidi="en-US"/>
              </w:rPr>
              <w:t xml:space="preserve">in </w:t>
            </w:r>
            <w:r w:rsidR="009C098F" w:rsidRPr="007A01E8">
              <w:rPr>
                <w:rFonts w:ascii="Times New Roman" w:eastAsia="標楷體" w:hAnsi="Times New Roman"/>
                <w:sz w:val="28"/>
                <w:lang w:bidi="en-US"/>
              </w:rPr>
              <w:t>advancing</w:t>
            </w:r>
            <w:r w:rsidRPr="007A01E8">
              <w:rPr>
                <w:rFonts w:ascii="Times New Roman" w:eastAsia="標楷體" w:hAnsi="Times New Roman"/>
                <w:sz w:val="28"/>
                <w:lang w:bidi="en-US"/>
              </w:rPr>
              <w:t xml:space="preserve"> toward net-zero transition. MIRDC is a non-profit organization recognized by the Bureau of Standards, Metrology and Inspection </w:t>
            </w:r>
            <w:r w:rsidR="009C098F" w:rsidRPr="007A01E8">
              <w:rPr>
                <w:rFonts w:ascii="Times New Roman" w:eastAsia="標楷體" w:hAnsi="Times New Roman"/>
                <w:sz w:val="28"/>
                <w:lang w:bidi="en-US"/>
              </w:rPr>
              <w:t xml:space="preserve">(BSMI), Ministry of Economic Affairs </w:t>
            </w:r>
            <w:r w:rsidRPr="007A01E8">
              <w:rPr>
                <w:rFonts w:ascii="Times New Roman" w:eastAsia="標楷體" w:hAnsi="Times New Roman"/>
                <w:sz w:val="28"/>
                <w:lang w:bidi="en-US"/>
              </w:rPr>
              <w:t>for voluntary energy storage product certification. It has a track record of testing and verifying many green energy service-related technologies, systems and project</w:t>
            </w:r>
            <w:r w:rsidR="009C098F" w:rsidRPr="007A01E8">
              <w:rPr>
                <w:rFonts w:ascii="Times New Roman" w:eastAsia="標楷體" w:hAnsi="Times New Roman" w:hint="eastAsia"/>
                <w:sz w:val="28"/>
                <w:lang w:bidi="en-US"/>
              </w:rPr>
              <w:t xml:space="preserve"> sites</w:t>
            </w:r>
            <w:r w:rsidRPr="007A01E8">
              <w:rPr>
                <w:rFonts w:ascii="Times New Roman" w:eastAsia="標楷體" w:hAnsi="Times New Roman"/>
                <w:sz w:val="28"/>
                <w:lang w:bidi="en-US"/>
              </w:rPr>
              <w:t xml:space="preserve">, as well as renewable energy certificate verification. It is currently assisting in the operation of the newly opened </w:t>
            </w:r>
            <w:r w:rsidR="009C098F" w:rsidRPr="007A01E8">
              <w:rPr>
                <w:rFonts w:ascii="Times New Roman" w:eastAsia="標楷體" w:hAnsi="Times New Roman"/>
                <w:sz w:val="28"/>
                <w:lang w:bidi="en-US"/>
              </w:rPr>
              <w:t>National Center for Energy Storage System Technology</w:t>
            </w:r>
            <w:r w:rsidR="009C098F" w:rsidRPr="007A01E8">
              <w:rPr>
                <w:rFonts w:ascii="Times New Roman" w:eastAsia="標楷體" w:hAnsi="Times New Roman" w:hint="eastAsia"/>
                <w:sz w:val="28"/>
                <w:lang w:bidi="en-US"/>
              </w:rPr>
              <w:t xml:space="preserve"> </w:t>
            </w:r>
            <w:r w:rsidRPr="007A01E8">
              <w:rPr>
                <w:rFonts w:ascii="Times New Roman" w:eastAsia="標楷體" w:hAnsi="Times New Roman"/>
                <w:sz w:val="28"/>
                <w:lang w:bidi="en-US"/>
              </w:rPr>
              <w:t>under</w:t>
            </w:r>
            <w:r w:rsidR="009C098F" w:rsidRPr="007A01E8">
              <w:rPr>
                <w:rFonts w:ascii="Times New Roman" w:eastAsia="標楷體" w:hAnsi="Times New Roman" w:hint="eastAsia"/>
                <w:sz w:val="28"/>
                <w:lang w:bidi="en-US"/>
              </w:rPr>
              <w:t xml:space="preserve"> the</w:t>
            </w:r>
            <w:r w:rsidRPr="007A01E8">
              <w:rPr>
                <w:rFonts w:ascii="Times New Roman" w:eastAsia="標楷體" w:hAnsi="Times New Roman"/>
                <w:sz w:val="28"/>
                <w:lang w:bidi="en-US"/>
              </w:rPr>
              <w:t xml:space="preserve"> </w:t>
            </w:r>
            <w:r w:rsidR="009C098F" w:rsidRPr="007A01E8">
              <w:rPr>
                <w:rFonts w:ascii="Times New Roman" w:eastAsia="標楷體" w:hAnsi="Times New Roman"/>
                <w:sz w:val="28"/>
                <w:lang w:bidi="en-US"/>
              </w:rPr>
              <w:t xml:space="preserve">BSMI </w:t>
            </w:r>
            <w:r w:rsidRPr="007A01E8">
              <w:rPr>
                <w:rFonts w:ascii="Times New Roman" w:eastAsia="標楷體" w:hAnsi="Times New Roman"/>
                <w:sz w:val="28"/>
                <w:lang w:bidi="en-US"/>
              </w:rPr>
              <w:t>located in the Tongluo Science Park in Miaoli, and aims to provide more comprehensive testing technology capabilities.</w:t>
            </w:r>
          </w:p>
          <w:p w14:paraId="6C25A5E8" w14:textId="77777777" w:rsidR="0078021D" w:rsidRPr="007A01E8" w:rsidRDefault="0078021D" w:rsidP="0078021D">
            <w:pPr>
              <w:tabs>
                <w:tab w:val="left" w:pos="589"/>
              </w:tabs>
              <w:spacing w:line="480" w:lineRule="exact"/>
              <w:jc w:val="both"/>
              <w:rPr>
                <w:rFonts w:ascii="Times New Roman" w:eastAsia="標楷體" w:hAnsi="Times New Roman"/>
                <w:sz w:val="28"/>
                <w:szCs w:val="28"/>
              </w:rPr>
            </w:pPr>
          </w:p>
          <w:p w14:paraId="1EAD5A13" w14:textId="7CC3CDCB" w:rsidR="00060FF9" w:rsidRPr="007A01E8" w:rsidRDefault="00060FF9" w:rsidP="0078021D">
            <w:pPr>
              <w:tabs>
                <w:tab w:val="left" w:pos="589"/>
              </w:tabs>
              <w:spacing w:line="480" w:lineRule="exact"/>
              <w:jc w:val="both"/>
              <w:rPr>
                <w:rFonts w:ascii="Times New Roman" w:eastAsia="標楷體" w:hAnsi="Times New Roman"/>
                <w:sz w:val="28"/>
                <w:szCs w:val="28"/>
              </w:rPr>
            </w:pPr>
            <w:r w:rsidRPr="007A01E8">
              <w:rPr>
                <w:rFonts w:ascii="Times New Roman" w:eastAsia="標楷體" w:hAnsi="Times New Roman"/>
                <w:sz w:val="28"/>
                <w:lang w:bidi="en-US"/>
              </w:rPr>
              <w:t xml:space="preserve">K.H. Liang, Vice President of Chunghwa Telecom’s Enterprise Customer Division stated that the partnership is an important step in helping Taiwan move towards the country’s net zero goal. Combining Chunghwa Telecom's channel resources with the MIRDC's </w:t>
            </w:r>
            <w:r w:rsidR="009C098F" w:rsidRPr="007A01E8">
              <w:rPr>
                <w:rFonts w:ascii="Times New Roman" w:eastAsia="標楷體" w:hAnsi="Times New Roman"/>
                <w:sz w:val="28"/>
                <w:lang w:bidi="en-US"/>
              </w:rPr>
              <w:t>testing capabilities and expertise</w:t>
            </w:r>
            <w:r w:rsidRPr="007A01E8">
              <w:rPr>
                <w:rFonts w:ascii="Times New Roman" w:eastAsia="標楷體" w:hAnsi="Times New Roman"/>
                <w:sz w:val="28"/>
                <w:lang w:bidi="en-US"/>
              </w:rPr>
              <w:t xml:space="preserve">, the two </w:t>
            </w:r>
            <w:r w:rsidR="00B61912" w:rsidRPr="007A01E8">
              <w:rPr>
                <w:rFonts w:ascii="Times New Roman" w:eastAsia="標楷體" w:hAnsi="Times New Roman"/>
                <w:sz w:val="28"/>
                <w:lang w:bidi="en-US"/>
              </w:rPr>
              <w:t xml:space="preserve">organizations </w:t>
            </w:r>
            <w:r w:rsidR="009C098F" w:rsidRPr="007A01E8">
              <w:rPr>
                <w:rFonts w:ascii="Times New Roman" w:eastAsia="標楷體" w:hAnsi="Times New Roman"/>
                <w:sz w:val="28"/>
                <w:lang w:bidi="en-US"/>
              </w:rPr>
              <w:t>are joining forces</w:t>
            </w:r>
            <w:r w:rsidR="00B61912" w:rsidRPr="007A01E8">
              <w:rPr>
                <w:rFonts w:ascii="Times New Roman" w:eastAsia="標楷體" w:hAnsi="Times New Roman"/>
                <w:sz w:val="28"/>
                <w:lang w:bidi="en-US"/>
              </w:rPr>
              <w:t xml:space="preserve"> </w:t>
            </w:r>
            <w:r w:rsidRPr="007A01E8">
              <w:rPr>
                <w:rFonts w:ascii="Times New Roman" w:eastAsia="標楷體" w:hAnsi="Times New Roman"/>
                <w:sz w:val="28"/>
                <w:lang w:bidi="en-US"/>
              </w:rPr>
              <w:t>to lead and accelerate net-zero transition for industries in the future.</w:t>
            </w:r>
          </w:p>
          <w:p w14:paraId="7A9D4CCA" w14:textId="77777777" w:rsidR="00060FF9" w:rsidRPr="007A01E8" w:rsidRDefault="00060FF9" w:rsidP="0078021D">
            <w:pPr>
              <w:tabs>
                <w:tab w:val="left" w:pos="589"/>
              </w:tabs>
              <w:spacing w:line="480" w:lineRule="exact"/>
              <w:jc w:val="both"/>
              <w:rPr>
                <w:rFonts w:ascii="Times New Roman" w:eastAsia="標楷體" w:hAnsi="Times New Roman"/>
                <w:sz w:val="28"/>
                <w:szCs w:val="28"/>
              </w:rPr>
            </w:pPr>
          </w:p>
          <w:p w14:paraId="0525F964" w14:textId="7EBAE58B" w:rsidR="00DE65EB" w:rsidRPr="007A01E8" w:rsidRDefault="0078021D" w:rsidP="00060FF9">
            <w:pPr>
              <w:tabs>
                <w:tab w:val="left" w:pos="589"/>
              </w:tabs>
              <w:spacing w:line="480" w:lineRule="exact"/>
              <w:jc w:val="both"/>
              <w:rPr>
                <w:rFonts w:ascii="Times New Roman" w:eastAsia="標楷體" w:hAnsi="Times New Roman"/>
                <w:sz w:val="28"/>
                <w:szCs w:val="28"/>
              </w:rPr>
            </w:pPr>
            <w:r w:rsidRPr="007A01E8">
              <w:rPr>
                <w:rFonts w:ascii="Times New Roman" w:eastAsia="標楷體" w:hAnsi="Times New Roman"/>
                <w:sz w:val="28"/>
                <w:lang w:bidi="en-US"/>
              </w:rPr>
              <w:t>Wei-Hung Wu, Vice President of MIRDC stated that the MIRDC’s years of experience in renewable energy, energy storage, net zero and other operations have now combined with the testing capabilities of the</w:t>
            </w:r>
            <w:r w:rsidR="009C098F" w:rsidRPr="007A01E8">
              <w:rPr>
                <w:rFonts w:ascii="Times New Roman" w:eastAsia="標楷體" w:hAnsi="Times New Roman"/>
                <w:sz w:val="28"/>
                <w:lang w:bidi="en-US"/>
              </w:rPr>
              <w:t xml:space="preserve"> National Center for Energy Storage System Technology</w:t>
            </w:r>
            <w:r w:rsidRPr="007A01E8">
              <w:rPr>
                <w:rFonts w:ascii="Times New Roman" w:eastAsia="標楷體" w:hAnsi="Times New Roman"/>
                <w:sz w:val="28"/>
                <w:lang w:bidi="en-US"/>
              </w:rPr>
              <w:t>. This will help Chunghwa Telecom achieve its own carbon reduction goals while enhancing the safety of green energy business development by improving the quality of products, systems and project</w:t>
            </w:r>
            <w:r w:rsidR="00B61912" w:rsidRPr="007A01E8">
              <w:rPr>
                <w:rFonts w:ascii="Times New Roman" w:eastAsia="標楷體" w:hAnsi="Times New Roman" w:hint="eastAsia"/>
                <w:sz w:val="28"/>
                <w:lang w:bidi="en-US"/>
              </w:rPr>
              <w:t xml:space="preserve"> sites</w:t>
            </w:r>
            <w:r w:rsidRPr="007A01E8">
              <w:rPr>
                <w:rFonts w:ascii="Times New Roman" w:eastAsia="標楷體" w:hAnsi="Times New Roman"/>
                <w:sz w:val="28"/>
                <w:lang w:bidi="en-US"/>
              </w:rPr>
              <w:t>. The current partnership mainly encompasses “raising awareness of net zero and green energy", "integrating net-zero transition capabilities" and "developing markets for green energy applications." It is expected to connect the domestic green energy industry supply chain, expand the renewable energy and energy storage application market, develop customers to establish green energy performance, and contribute to the country's shift towards net-zero emissions targets for 2050.</w:t>
            </w:r>
          </w:p>
          <w:p w14:paraId="6AB18651"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7ADD80C8" w14:textId="319F0DBE"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r w:rsidRPr="00B11018">
              <w:rPr>
                <w:rFonts w:ascii="Times New Roman" w:eastAsia="標楷體" w:hAnsi="Times New Roman"/>
                <w:noProof/>
                <w:lang w:bidi="en-US"/>
              </w:rPr>
              <w:lastRenderedPageBreak/>
              <w:drawing>
                <wp:anchor distT="0" distB="0" distL="114300" distR="114300" simplePos="0" relativeHeight="251658240" behindDoc="1" locked="0" layoutInCell="1" allowOverlap="1" wp14:anchorId="18027904" wp14:editId="4233C40B">
                  <wp:simplePos x="0" y="0"/>
                  <wp:positionH relativeFrom="column">
                    <wp:posOffset>774625</wp:posOffset>
                  </wp:positionH>
                  <wp:positionV relativeFrom="paragraph">
                    <wp:posOffset>244959</wp:posOffset>
                  </wp:positionV>
                  <wp:extent cx="4980305" cy="3307715"/>
                  <wp:effectExtent l="0" t="0" r="0" b="6985"/>
                  <wp:wrapTight wrapText="bothSides">
                    <wp:wrapPolygon edited="0">
                      <wp:start x="0" y="0"/>
                      <wp:lineTo x="0" y="21521"/>
                      <wp:lineTo x="21482" y="21521"/>
                      <wp:lineTo x="21482"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0305" cy="330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E0F08"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3E066CA2"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7BB56BCD"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5E35D4AE"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21AC8B73"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6ECD822E"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18386F8E"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0333133C"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106ADB14"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744D801E"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124BD270" w14:textId="77777777" w:rsidR="00CE7309" w:rsidRPr="00B11018" w:rsidRDefault="00CE7309" w:rsidP="00060FF9">
            <w:pPr>
              <w:tabs>
                <w:tab w:val="left" w:pos="589"/>
              </w:tabs>
              <w:spacing w:line="480" w:lineRule="exact"/>
              <w:jc w:val="both"/>
              <w:rPr>
                <w:rFonts w:ascii="Times New Roman" w:eastAsia="標楷體" w:hAnsi="Times New Roman"/>
                <w:color w:val="000000" w:themeColor="text1"/>
                <w:sz w:val="28"/>
                <w:szCs w:val="28"/>
              </w:rPr>
            </w:pPr>
          </w:p>
          <w:p w14:paraId="76F08177" w14:textId="6E3B4887" w:rsidR="009C098F" w:rsidRPr="009C098F" w:rsidRDefault="00CE7309" w:rsidP="009C098F">
            <w:pPr>
              <w:tabs>
                <w:tab w:val="left" w:pos="589"/>
              </w:tabs>
              <w:spacing w:line="480" w:lineRule="exact"/>
              <w:jc w:val="center"/>
              <w:rPr>
                <w:rFonts w:ascii="Times New Roman" w:eastAsia="標楷體" w:hAnsi="Times New Roman"/>
                <w:sz w:val="28"/>
                <w:lang w:bidi="en-US"/>
              </w:rPr>
            </w:pPr>
            <w:r w:rsidRPr="00B11018">
              <w:rPr>
                <w:rFonts w:ascii="Times New Roman" w:eastAsia="標楷體" w:hAnsi="Times New Roman"/>
                <w:sz w:val="28"/>
                <w:lang w:bidi="en-US"/>
              </w:rPr>
              <w:t>Photo 1.</w:t>
            </w:r>
            <w:r w:rsidR="00D14100">
              <w:rPr>
                <w:rFonts w:ascii="Times New Roman" w:eastAsia="標楷體" w:hAnsi="Times New Roman" w:hint="eastAsia"/>
                <w:sz w:val="28"/>
                <w:lang w:bidi="en-US"/>
              </w:rPr>
              <w:t xml:space="preserve"> </w:t>
            </w:r>
            <w:r w:rsidRPr="00B11018">
              <w:rPr>
                <w:rFonts w:ascii="Times New Roman" w:eastAsia="標楷體" w:hAnsi="Times New Roman"/>
                <w:sz w:val="28"/>
                <w:lang w:bidi="en-US"/>
              </w:rPr>
              <w:t>Chunghwa Telecom Enterprise Customer Division Vice President K.H. Liang (left) and MIRDC Vice President Wei-Hung Wu (right) signed a memorandum of understanding on promoting net-zero transition services.</w:t>
            </w:r>
          </w:p>
        </w:tc>
      </w:tr>
    </w:tbl>
    <w:p w14:paraId="39F2BECB" w14:textId="05B1E356" w:rsidR="002F5EED" w:rsidRPr="00B11018" w:rsidRDefault="002F5EED" w:rsidP="00E47832">
      <w:pPr>
        <w:snapToGrid w:val="0"/>
        <w:spacing w:line="600" w:lineRule="exact"/>
        <w:rPr>
          <w:rFonts w:ascii="Times New Roman" w:eastAsia="標楷體" w:hAnsi="Times New Roman"/>
          <w:color w:val="000000" w:themeColor="text1"/>
        </w:rPr>
      </w:pPr>
    </w:p>
    <w:sectPr w:rsidR="002F5EED" w:rsidRPr="00B11018" w:rsidSect="00EA316B">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70E8" w14:textId="77777777" w:rsidR="001B5DE6" w:rsidRDefault="001B5DE6" w:rsidP="00C07CBF">
      <w:r>
        <w:separator/>
      </w:r>
    </w:p>
  </w:endnote>
  <w:endnote w:type="continuationSeparator" w:id="0">
    <w:p w14:paraId="3F34817C" w14:textId="77777777" w:rsidR="001B5DE6" w:rsidRDefault="001B5DE6"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CC98" w14:textId="77777777" w:rsidR="001B5DE6" w:rsidRDefault="001B5DE6" w:rsidP="00C07CBF">
      <w:r>
        <w:separator/>
      </w:r>
    </w:p>
  </w:footnote>
  <w:footnote w:type="continuationSeparator" w:id="0">
    <w:p w14:paraId="28338419" w14:textId="77777777" w:rsidR="001B5DE6" w:rsidRDefault="001B5DE6"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7"/>
  </w:num>
  <w:num w:numId="4">
    <w:abstractNumId w:val="3"/>
  </w:num>
  <w:num w:numId="5">
    <w:abstractNumId w:val="5"/>
  </w:num>
  <w:num w:numId="6">
    <w:abstractNumId w:val="10"/>
  </w:num>
  <w:num w:numId="7">
    <w:abstractNumId w:val="8"/>
  </w:num>
  <w:num w:numId="8">
    <w:abstractNumId w:val="11"/>
  </w:num>
  <w:num w:numId="9">
    <w:abstractNumId w:val="0"/>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352B"/>
    <w:rsid w:val="00020BC9"/>
    <w:rsid w:val="00021474"/>
    <w:rsid w:val="00025DF3"/>
    <w:rsid w:val="00026A9F"/>
    <w:rsid w:val="00027C15"/>
    <w:rsid w:val="0003169D"/>
    <w:rsid w:val="000436C1"/>
    <w:rsid w:val="00053438"/>
    <w:rsid w:val="00053888"/>
    <w:rsid w:val="00060FF9"/>
    <w:rsid w:val="00066B0A"/>
    <w:rsid w:val="00077470"/>
    <w:rsid w:val="000A585A"/>
    <w:rsid w:val="000A6124"/>
    <w:rsid w:val="000A63B1"/>
    <w:rsid w:val="000B7739"/>
    <w:rsid w:val="000C6DC8"/>
    <w:rsid w:val="000F4B65"/>
    <w:rsid w:val="000F5F0D"/>
    <w:rsid w:val="000F63FC"/>
    <w:rsid w:val="00100543"/>
    <w:rsid w:val="00101D7E"/>
    <w:rsid w:val="00102529"/>
    <w:rsid w:val="00103412"/>
    <w:rsid w:val="00103915"/>
    <w:rsid w:val="0011101E"/>
    <w:rsid w:val="001311C9"/>
    <w:rsid w:val="001333E8"/>
    <w:rsid w:val="00134495"/>
    <w:rsid w:val="0014027A"/>
    <w:rsid w:val="00144909"/>
    <w:rsid w:val="00146456"/>
    <w:rsid w:val="001503F9"/>
    <w:rsid w:val="00156A34"/>
    <w:rsid w:val="001641EE"/>
    <w:rsid w:val="0016541B"/>
    <w:rsid w:val="00171F9F"/>
    <w:rsid w:val="00187017"/>
    <w:rsid w:val="00187D1E"/>
    <w:rsid w:val="00190BDC"/>
    <w:rsid w:val="001917E3"/>
    <w:rsid w:val="00193465"/>
    <w:rsid w:val="001B3AD1"/>
    <w:rsid w:val="001B5DE6"/>
    <w:rsid w:val="001C6B4E"/>
    <w:rsid w:val="001D01D9"/>
    <w:rsid w:val="001D0BF8"/>
    <w:rsid w:val="001D2169"/>
    <w:rsid w:val="001D7DC2"/>
    <w:rsid w:val="001F291D"/>
    <w:rsid w:val="001F3699"/>
    <w:rsid w:val="001F7968"/>
    <w:rsid w:val="0020097C"/>
    <w:rsid w:val="00201493"/>
    <w:rsid w:val="00205931"/>
    <w:rsid w:val="00205C30"/>
    <w:rsid w:val="00210A8C"/>
    <w:rsid w:val="00221191"/>
    <w:rsid w:val="00221D22"/>
    <w:rsid w:val="002320E0"/>
    <w:rsid w:val="00236C74"/>
    <w:rsid w:val="00281B9B"/>
    <w:rsid w:val="00282C45"/>
    <w:rsid w:val="002A09BF"/>
    <w:rsid w:val="002B03CE"/>
    <w:rsid w:val="002B12CA"/>
    <w:rsid w:val="002B4341"/>
    <w:rsid w:val="002C317E"/>
    <w:rsid w:val="002C3AF6"/>
    <w:rsid w:val="002C437C"/>
    <w:rsid w:val="002C6078"/>
    <w:rsid w:val="002C6212"/>
    <w:rsid w:val="002D46C2"/>
    <w:rsid w:val="002F00BB"/>
    <w:rsid w:val="002F5EED"/>
    <w:rsid w:val="00311D0E"/>
    <w:rsid w:val="003224C7"/>
    <w:rsid w:val="0033209B"/>
    <w:rsid w:val="0033323C"/>
    <w:rsid w:val="00334451"/>
    <w:rsid w:val="0033557F"/>
    <w:rsid w:val="00337261"/>
    <w:rsid w:val="00343583"/>
    <w:rsid w:val="003448C8"/>
    <w:rsid w:val="003459DE"/>
    <w:rsid w:val="003776A1"/>
    <w:rsid w:val="00380AA9"/>
    <w:rsid w:val="003853BB"/>
    <w:rsid w:val="00385EBB"/>
    <w:rsid w:val="00386DE5"/>
    <w:rsid w:val="003938F9"/>
    <w:rsid w:val="003A45E3"/>
    <w:rsid w:val="003A4CD1"/>
    <w:rsid w:val="003A4FCD"/>
    <w:rsid w:val="003A57E8"/>
    <w:rsid w:val="003B0AAA"/>
    <w:rsid w:val="003B1343"/>
    <w:rsid w:val="003B3A43"/>
    <w:rsid w:val="003C276A"/>
    <w:rsid w:val="003D17FB"/>
    <w:rsid w:val="003D3E0F"/>
    <w:rsid w:val="003D3FAD"/>
    <w:rsid w:val="003D4D09"/>
    <w:rsid w:val="003D5AA8"/>
    <w:rsid w:val="003E0636"/>
    <w:rsid w:val="003E1779"/>
    <w:rsid w:val="003E2160"/>
    <w:rsid w:val="003E5070"/>
    <w:rsid w:val="003F3081"/>
    <w:rsid w:val="0040031E"/>
    <w:rsid w:val="00401FA3"/>
    <w:rsid w:val="004076AE"/>
    <w:rsid w:val="00410356"/>
    <w:rsid w:val="00410D55"/>
    <w:rsid w:val="00412748"/>
    <w:rsid w:val="0044438C"/>
    <w:rsid w:val="00446960"/>
    <w:rsid w:val="00453285"/>
    <w:rsid w:val="004563FA"/>
    <w:rsid w:val="00466855"/>
    <w:rsid w:val="00487FE8"/>
    <w:rsid w:val="00492989"/>
    <w:rsid w:val="00492BD8"/>
    <w:rsid w:val="00496247"/>
    <w:rsid w:val="004A6F0C"/>
    <w:rsid w:val="004B13FF"/>
    <w:rsid w:val="004C2CAF"/>
    <w:rsid w:val="004C4984"/>
    <w:rsid w:val="004D6C82"/>
    <w:rsid w:val="004D6F33"/>
    <w:rsid w:val="004E192C"/>
    <w:rsid w:val="004E3C3B"/>
    <w:rsid w:val="004F3889"/>
    <w:rsid w:val="005019F9"/>
    <w:rsid w:val="00501A95"/>
    <w:rsid w:val="005043D7"/>
    <w:rsid w:val="0051120D"/>
    <w:rsid w:val="00527B9F"/>
    <w:rsid w:val="00533697"/>
    <w:rsid w:val="00534974"/>
    <w:rsid w:val="00552D41"/>
    <w:rsid w:val="005678C4"/>
    <w:rsid w:val="00572CD8"/>
    <w:rsid w:val="005753B5"/>
    <w:rsid w:val="00584951"/>
    <w:rsid w:val="00584D1C"/>
    <w:rsid w:val="005A2EFE"/>
    <w:rsid w:val="005A485C"/>
    <w:rsid w:val="005B1C28"/>
    <w:rsid w:val="005B1D5F"/>
    <w:rsid w:val="005B33F2"/>
    <w:rsid w:val="005B3FDD"/>
    <w:rsid w:val="005B4AB3"/>
    <w:rsid w:val="005B4CBD"/>
    <w:rsid w:val="005B5E18"/>
    <w:rsid w:val="005C1E11"/>
    <w:rsid w:val="005D05EF"/>
    <w:rsid w:val="005D1F7B"/>
    <w:rsid w:val="005D454C"/>
    <w:rsid w:val="005D79A3"/>
    <w:rsid w:val="005F3891"/>
    <w:rsid w:val="006136AF"/>
    <w:rsid w:val="0061727B"/>
    <w:rsid w:val="006254E5"/>
    <w:rsid w:val="006376B6"/>
    <w:rsid w:val="00644309"/>
    <w:rsid w:val="00644ABA"/>
    <w:rsid w:val="00663B6C"/>
    <w:rsid w:val="0067605C"/>
    <w:rsid w:val="006814F0"/>
    <w:rsid w:val="00681745"/>
    <w:rsid w:val="00687DD5"/>
    <w:rsid w:val="00690FB7"/>
    <w:rsid w:val="0069713E"/>
    <w:rsid w:val="006975C7"/>
    <w:rsid w:val="006A061B"/>
    <w:rsid w:val="006A60AB"/>
    <w:rsid w:val="006B5696"/>
    <w:rsid w:val="006B7AA3"/>
    <w:rsid w:val="006D0185"/>
    <w:rsid w:val="006D0295"/>
    <w:rsid w:val="006D3C59"/>
    <w:rsid w:val="006E02A5"/>
    <w:rsid w:val="006E2A81"/>
    <w:rsid w:val="006E4E17"/>
    <w:rsid w:val="006E6207"/>
    <w:rsid w:val="006E7BF9"/>
    <w:rsid w:val="006F5DC8"/>
    <w:rsid w:val="007025FD"/>
    <w:rsid w:val="00703468"/>
    <w:rsid w:val="00705310"/>
    <w:rsid w:val="00712227"/>
    <w:rsid w:val="0072528B"/>
    <w:rsid w:val="00725E92"/>
    <w:rsid w:val="0072642A"/>
    <w:rsid w:val="007308FE"/>
    <w:rsid w:val="007332CE"/>
    <w:rsid w:val="00734836"/>
    <w:rsid w:val="00735492"/>
    <w:rsid w:val="00745245"/>
    <w:rsid w:val="00747752"/>
    <w:rsid w:val="00751D67"/>
    <w:rsid w:val="00755B44"/>
    <w:rsid w:val="0076449D"/>
    <w:rsid w:val="00771B3B"/>
    <w:rsid w:val="00774ED2"/>
    <w:rsid w:val="00775C98"/>
    <w:rsid w:val="0078021D"/>
    <w:rsid w:val="00780953"/>
    <w:rsid w:val="00781C85"/>
    <w:rsid w:val="00782F89"/>
    <w:rsid w:val="00787266"/>
    <w:rsid w:val="00795A5C"/>
    <w:rsid w:val="00795E8A"/>
    <w:rsid w:val="007A01E8"/>
    <w:rsid w:val="007A1A9F"/>
    <w:rsid w:val="007A6A55"/>
    <w:rsid w:val="007A7954"/>
    <w:rsid w:val="007B0FD7"/>
    <w:rsid w:val="007B294D"/>
    <w:rsid w:val="007B3714"/>
    <w:rsid w:val="007B6176"/>
    <w:rsid w:val="007C14F1"/>
    <w:rsid w:val="007C5041"/>
    <w:rsid w:val="007D1A22"/>
    <w:rsid w:val="007D78DA"/>
    <w:rsid w:val="007E4872"/>
    <w:rsid w:val="007F1738"/>
    <w:rsid w:val="007F3510"/>
    <w:rsid w:val="007F38CA"/>
    <w:rsid w:val="0080483B"/>
    <w:rsid w:val="00807E3B"/>
    <w:rsid w:val="00812BA2"/>
    <w:rsid w:val="008166CC"/>
    <w:rsid w:val="0082310E"/>
    <w:rsid w:val="008244AD"/>
    <w:rsid w:val="00831344"/>
    <w:rsid w:val="00846DB3"/>
    <w:rsid w:val="00857AEF"/>
    <w:rsid w:val="00860190"/>
    <w:rsid w:val="00872844"/>
    <w:rsid w:val="00873948"/>
    <w:rsid w:val="008739F6"/>
    <w:rsid w:val="00876230"/>
    <w:rsid w:val="0088237F"/>
    <w:rsid w:val="0088488C"/>
    <w:rsid w:val="00886BFE"/>
    <w:rsid w:val="008A0DA6"/>
    <w:rsid w:val="008C1B6D"/>
    <w:rsid w:val="008C32B7"/>
    <w:rsid w:val="008C497E"/>
    <w:rsid w:val="008C6867"/>
    <w:rsid w:val="008C6A62"/>
    <w:rsid w:val="008E08A3"/>
    <w:rsid w:val="008E4047"/>
    <w:rsid w:val="008E453B"/>
    <w:rsid w:val="008F12BF"/>
    <w:rsid w:val="008F31EB"/>
    <w:rsid w:val="009000FA"/>
    <w:rsid w:val="00902580"/>
    <w:rsid w:val="00902BED"/>
    <w:rsid w:val="00905A20"/>
    <w:rsid w:val="00906EE7"/>
    <w:rsid w:val="0091257E"/>
    <w:rsid w:val="00914863"/>
    <w:rsid w:val="00915907"/>
    <w:rsid w:val="00920CB9"/>
    <w:rsid w:val="009243E9"/>
    <w:rsid w:val="009276AA"/>
    <w:rsid w:val="009349D4"/>
    <w:rsid w:val="009475CB"/>
    <w:rsid w:val="009646E6"/>
    <w:rsid w:val="00964B67"/>
    <w:rsid w:val="0097687D"/>
    <w:rsid w:val="00985D34"/>
    <w:rsid w:val="00987B33"/>
    <w:rsid w:val="009A560D"/>
    <w:rsid w:val="009B6F85"/>
    <w:rsid w:val="009C098F"/>
    <w:rsid w:val="009C6139"/>
    <w:rsid w:val="009C796E"/>
    <w:rsid w:val="009D3289"/>
    <w:rsid w:val="009D5698"/>
    <w:rsid w:val="009E70DB"/>
    <w:rsid w:val="009F7D3B"/>
    <w:rsid w:val="00A05700"/>
    <w:rsid w:val="00A104DB"/>
    <w:rsid w:val="00A10E61"/>
    <w:rsid w:val="00A162AE"/>
    <w:rsid w:val="00A20D55"/>
    <w:rsid w:val="00A259B5"/>
    <w:rsid w:val="00A333BF"/>
    <w:rsid w:val="00A36E4F"/>
    <w:rsid w:val="00A50B66"/>
    <w:rsid w:val="00A7340D"/>
    <w:rsid w:val="00A80E2D"/>
    <w:rsid w:val="00A8695E"/>
    <w:rsid w:val="00A935FF"/>
    <w:rsid w:val="00A97B01"/>
    <w:rsid w:val="00AA3A28"/>
    <w:rsid w:val="00AB13F6"/>
    <w:rsid w:val="00AB613C"/>
    <w:rsid w:val="00AD4383"/>
    <w:rsid w:val="00AE15EF"/>
    <w:rsid w:val="00AE3F9A"/>
    <w:rsid w:val="00AF5C0C"/>
    <w:rsid w:val="00B05085"/>
    <w:rsid w:val="00B11018"/>
    <w:rsid w:val="00B2610F"/>
    <w:rsid w:val="00B26D70"/>
    <w:rsid w:val="00B3134C"/>
    <w:rsid w:val="00B513FC"/>
    <w:rsid w:val="00B537FD"/>
    <w:rsid w:val="00B5783F"/>
    <w:rsid w:val="00B61912"/>
    <w:rsid w:val="00B661C8"/>
    <w:rsid w:val="00B67E33"/>
    <w:rsid w:val="00B70570"/>
    <w:rsid w:val="00B7650E"/>
    <w:rsid w:val="00B76B39"/>
    <w:rsid w:val="00B87AF3"/>
    <w:rsid w:val="00B90844"/>
    <w:rsid w:val="00B978A0"/>
    <w:rsid w:val="00BB573C"/>
    <w:rsid w:val="00BB6F0B"/>
    <w:rsid w:val="00BC0437"/>
    <w:rsid w:val="00BC1AF2"/>
    <w:rsid w:val="00BC3E59"/>
    <w:rsid w:val="00BC3F83"/>
    <w:rsid w:val="00BC55F3"/>
    <w:rsid w:val="00BC69A9"/>
    <w:rsid w:val="00BD4C76"/>
    <w:rsid w:val="00BD7679"/>
    <w:rsid w:val="00BE1B04"/>
    <w:rsid w:val="00BF119B"/>
    <w:rsid w:val="00C031D6"/>
    <w:rsid w:val="00C06984"/>
    <w:rsid w:val="00C07CBF"/>
    <w:rsid w:val="00C07F0C"/>
    <w:rsid w:val="00C21C87"/>
    <w:rsid w:val="00C24D41"/>
    <w:rsid w:val="00C340DA"/>
    <w:rsid w:val="00C50B2E"/>
    <w:rsid w:val="00C5393C"/>
    <w:rsid w:val="00C54B89"/>
    <w:rsid w:val="00C55EB8"/>
    <w:rsid w:val="00C56366"/>
    <w:rsid w:val="00C60831"/>
    <w:rsid w:val="00C60F0B"/>
    <w:rsid w:val="00C67F81"/>
    <w:rsid w:val="00C73D96"/>
    <w:rsid w:val="00C74580"/>
    <w:rsid w:val="00C7774E"/>
    <w:rsid w:val="00C80C28"/>
    <w:rsid w:val="00C814E5"/>
    <w:rsid w:val="00C84932"/>
    <w:rsid w:val="00C951A4"/>
    <w:rsid w:val="00C970D8"/>
    <w:rsid w:val="00CA063C"/>
    <w:rsid w:val="00CA11B1"/>
    <w:rsid w:val="00CB30D4"/>
    <w:rsid w:val="00CB523C"/>
    <w:rsid w:val="00CC1441"/>
    <w:rsid w:val="00CD0D22"/>
    <w:rsid w:val="00CD2708"/>
    <w:rsid w:val="00CD2BFE"/>
    <w:rsid w:val="00CD2D8A"/>
    <w:rsid w:val="00CD331E"/>
    <w:rsid w:val="00CD5926"/>
    <w:rsid w:val="00CD7664"/>
    <w:rsid w:val="00CE285C"/>
    <w:rsid w:val="00CE3C17"/>
    <w:rsid w:val="00CE7309"/>
    <w:rsid w:val="00CF4F24"/>
    <w:rsid w:val="00D02BF1"/>
    <w:rsid w:val="00D05661"/>
    <w:rsid w:val="00D11979"/>
    <w:rsid w:val="00D14100"/>
    <w:rsid w:val="00D21F89"/>
    <w:rsid w:val="00D3332B"/>
    <w:rsid w:val="00D3710D"/>
    <w:rsid w:val="00D5398D"/>
    <w:rsid w:val="00D53997"/>
    <w:rsid w:val="00D7228A"/>
    <w:rsid w:val="00D72632"/>
    <w:rsid w:val="00D769C0"/>
    <w:rsid w:val="00D76E89"/>
    <w:rsid w:val="00DA394A"/>
    <w:rsid w:val="00DB3449"/>
    <w:rsid w:val="00DB4F42"/>
    <w:rsid w:val="00DC158F"/>
    <w:rsid w:val="00DC161F"/>
    <w:rsid w:val="00DC58E4"/>
    <w:rsid w:val="00DC63E6"/>
    <w:rsid w:val="00DD0DBC"/>
    <w:rsid w:val="00DD1F14"/>
    <w:rsid w:val="00DD3228"/>
    <w:rsid w:val="00DD3945"/>
    <w:rsid w:val="00DE1557"/>
    <w:rsid w:val="00DE4B94"/>
    <w:rsid w:val="00DE57F7"/>
    <w:rsid w:val="00DE65EB"/>
    <w:rsid w:val="00DF1D61"/>
    <w:rsid w:val="00DF78C1"/>
    <w:rsid w:val="00E04955"/>
    <w:rsid w:val="00E072AB"/>
    <w:rsid w:val="00E10996"/>
    <w:rsid w:val="00E1100A"/>
    <w:rsid w:val="00E11133"/>
    <w:rsid w:val="00E435B6"/>
    <w:rsid w:val="00E47832"/>
    <w:rsid w:val="00E576B1"/>
    <w:rsid w:val="00E57F3E"/>
    <w:rsid w:val="00E61DA0"/>
    <w:rsid w:val="00E76165"/>
    <w:rsid w:val="00E77341"/>
    <w:rsid w:val="00E8712C"/>
    <w:rsid w:val="00EA316B"/>
    <w:rsid w:val="00EB55FB"/>
    <w:rsid w:val="00EC1D2D"/>
    <w:rsid w:val="00EE0BD1"/>
    <w:rsid w:val="00EE284F"/>
    <w:rsid w:val="00EE5B9D"/>
    <w:rsid w:val="00EE73D7"/>
    <w:rsid w:val="00EF038F"/>
    <w:rsid w:val="00F15804"/>
    <w:rsid w:val="00F159E5"/>
    <w:rsid w:val="00F1743E"/>
    <w:rsid w:val="00F27101"/>
    <w:rsid w:val="00F32444"/>
    <w:rsid w:val="00F4189A"/>
    <w:rsid w:val="00F41D26"/>
    <w:rsid w:val="00F4552E"/>
    <w:rsid w:val="00F45A09"/>
    <w:rsid w:val="00F46939"/>
    <w:rsid w:val="00F5067F"/>
    <w:rsid w:val="00F55C5F"/>
    <w:rsid w:val="00F60CB5"/>
    <w:rsid w:val="00F71218"/>
    <w:rsid w:val="00F727BA"/>
    <w:rsid w:val="00F75F6F"/>
    <w:rsid w:val="00F76562"/>
    <w:rsid w:val="00F77859"/>
    <w:rsid w:val="00F8066F"/>
    <w:rsid w:val="00F8070C"/>
    <w:rsid w:val="00F81888"/>
    <w:rsid w:val="00F86D9B"/>
    <w:rsid w:val="00F87186"/>
    <w:rsid w:val="00F94BED"/>
    <w:rsid w:val="00FA36D0"/>
    <w:rsid w:val="00FB1572"/>
    <w:rsid w:val="00FB4CA4"/>
    <w:rsid w:val="00FC3E4F"/>
    <w:rsid w:val="00FC7527"/>
    <w:rsid w:val="00FD75AC"/>
    <w:rsid w:val="00FE050A"/>
    <w:rsid w:val="00FE7987"/>
    <w:rsid w:val="00FF7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305B"/>
  <w15:chartTrackingRefBased/>
  <w15:docId w15:val="{D5CC1AEA-3730-47A9-B5BF-F6AAC608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paragraph" w:styleId="2">
    <w:name w:val="heading 2"/>
    <w:basedOn w:val="a"/>
    <w:next w:val="a"/>
    <w:link w:val="20"/>
    <w:uiPriority w:val="9"/>
    <w:semiHidden/>
    <w:unhideWhenUsed/>
    <w:qFormat/>
    <w:rsid w:val="007B371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10054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282C45"/>
    <w:rPr>
      <w:rFonts w:ascii="Cambria" w:hAnsi="Cambria"/>
      <w:sz w:val="18"/>
      <w:szCs w:val="18"/>
      <w:lang w:val="x-none" w:eastAsia="x-none"/>
    </w:rPr>
  </w:style>
  <w:style w:type="character" w:customStyle="1" w:styleId="aa">
    <w:name w:val="註解方塊文字 字元"/>
    <w:link w:val="a9"/>
    <w:uiPriority w:val="99"/>
    <w:semiHidden/>
    <w:rsid w:val="00282C45"/>
    <w:rPr>
      <w:rFonts w:ascii="Cambria" w:eastAsia="新細明體" w:hAnsi="Cambria" w:cs="Times New Roman"/>
      <w:kern w:val="2"/>
      <w:sz w:val="18"/>
      <w:szCs w:val="18"/>
    </w:rPr>
  </w:style>
  <w:style w:type="character" w:customStyle="1" w:styleId="20">
    <w:name w:val="標題 2 字元"/>
    <w:basedOn w:val="a0"/>
    <w:link w:val="2"/>
    <w:uiPriority w:val="9"/>
    <w:semiHidden/>
    <w:rsid w:val="007B3714"/>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semiHidden/>
    <w:rsid w:val="00100543"/>
    <w:rPr>
      <w:rFonts w:asciiTheme="majorHAnsi" w:eastAsiaTheme="majorEastAsia" w:hAnsiTheme="majorHAnsi" w:cstheme="majorBidi"/>
      <w:b/>
      <w:bCs/>
      <w:kern w:val="2"/>
      <w:sz w:val="36"/>
      <w:szCs w:val="36"/>
    </w:rPr>
  </w:style>
  <w:style w:type="paragraph" w:styleId="Web">
    <w:name w:val="Normal (Web)"/>
    <w:basedOn w:val="a"/>
    <w:uiPriority w:val="99"/>
    <w:semiHidden/>
    <w:unhideWhenUsed/>
    <w:rsid w:val="00CA063C"/>
    <w:pPr>
      <w:widowControl/>
      <w:spacing w:before="100" w:beforeAutospacing="1" w:after="100" w:afterAutospacing="1"/>
    </w:pPr>
    <w:rPr>
      <w:rFonts w:ascii="新細明體" w:hAnsi="新細明體" w:cs="新細明體"/>
      <w:kern w:val="0"/>
      <w:szCs w:val="24"/>
    </w:rPr>
  </w:style>
  <w:style w:type="character" w:styleId="ab">
    <w:name w:val="annotation reference"/>
    <w:uiPriority w:val="99"/>
    <w:semiHidden/>
    <w:unhideWhenUsed/>
    <w:rsid w:val="00060FF9"/>
    <w:rPr>
      <w:sz w:val="18"/>
      <w:szCs w:val="18"/>
    </w:rPr>
  </w:style>
  <w:style w:type="paragraph" w:styleId="ac">
    <w:name w:val="annotation text"/>
    <w:basedOn w:val="a"/>
    <w:link w:val="ad"/>
    <w:uiPriority w:val="99"/>
    <w:semiHidden/>
    <w:unhideWhenUsed/>
    <w:rsid w:val="00060FF9"/>
    <w:rPr>
      <w:lang w:val="x-none" w:eastAsia="x-none"/>
    </w:rPr>
  </w:style>
  <w:style w:type="character" w:customStyle="1" w:styleId="ad">
    <w:name w:val="註解文字 字元"/>
    <w:basedOn w:val="a0"/>
    <w:link w:val="ac"/>
    <w:uiPriority w:val="99"/>
    <w:semiHidden/>
    <w:rsid w:val="00060FF9"/>
    <w:rPr>
      <w:kern w:val="2"/>
      <w:sz w:val="24"/>
      <w:szCs w:val="22"/>
      <w:lang w:val="x-none" w:eastAsia="x-none"/>
    </w:rPr>
  </w:style>
  <w:style w:type="character" w:styleId="ae">
    <w:name w:val="Hyperlink"/>
    <w:basedOn w:val="a0"/>
    <w:uiPriority w:val="99"/>
    <w:unhideWhenUsed/>
    <w:rsid w:val="00060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2711">
      <w:bodyDiv w:val="1"/>
      <w:marLeft w:val="0"/>
      <w:marRight w:val="0"/>
      <w:marTop w:val="0"/>
      <w:marBottom w:val="0"/>
      <w:divBdr>
        <w:top w:val="none" w:sz="0" w:space="0" w:color="auto"/>
        <w:left w:val="none" w:sz="0" w:space="0" w:color="auto"/>
        <w:bottom w:val="none" w:sz="0" w:space="0" w:color="auto"/>
        <w:right w:val="none" w:sz="0" w:space="0" w:color="auto"/>
      </w:divBdr>
    </w:div>
    <w:div w:id="637498433">
      <w:bodyDiv w:val="1"/>
      <w:marLeft w:val="0"/>
      <w:marRight w:val="0"/>
      <w:marTop w:val="0"/>
      <w:marBottom w:val="0"/>
      <w:divBdr>
        <w:top w:val="none" w:sz="0" w:space="0" w:color="auto"/>
        <w:left w:val="none" w:sz="0" w:space="0" w:color="auto"/>
        <w:bottom w:val="none" w:sz="0" w:space="0" w:color="auto"/>
        <w:right w:val="none" w:sz="0" w:space="0" w:color="auto"/>
      </w:divBdr>
    </w:div>
    <w:div w:id="1104882185">
      <w:bodyDiv w:val="1"/>
      <w:marLeft w:val="0"/>
      <w:marRight w:val="0"/>
      <w:marTop w:val="0"/>
      <w:marBottom w:val="0"/>
      <w:divBdr>
        <w:top w:val="none" w:sz="0" w:space="0" w:color="auto"/>
        <w:left w:val="none" w:sz="0" w:space="0" w:color="auto"/>
        <w:bottom w:val="none" w:sz="0" w:space="0" w:color="auto"/>
        <w:right w:val="none" w:sz="0" w:space="0" w:color="auto"/>
      </w:divBdr>
    </w:div>
    <w:div w:id="1252927469">
      <w:bodyDiv w:val="1"/>
      <w:marLeft w:val="0"/>
      <w:marRight w:val="0"/>
      <w:marTop w:val="0"/>
      <w:marBottom w:val="0"/>
      <w:divBdr>
        <w:top w:val="none" w:sz="0" w:space="0" w:color="auto"/>
        <w:left w:val="none" w:sz="0" w:space="0" w:color="auto"/>
        <w:bottom w:val="none" w:sz="0" w:space="0" w:color="auto"/>
        <w:right w:val="none" w:sz="0" w:space="0" w:color="auto"/>
      </w:divBdr>
    </w:div>
    <w:div w:id="1377505943">
      <w:bodyDiv w:val="1"/>
      <w:marLeft w:val="0"/>
      <w:marRight w:val="0"/>
      <w:marTop w:val="0"/>
      <w:marBottom w:val="0"/>
      <w:divBdr>
        <w:top w:val="none" w:sz="0" w:space="0" w:color="auto"/>
        <w:left w:val="none" w:sz="0" w:space="0" w:color="auto"/>
        <w:bottom w:val="none" w:sz="0" w:space="0" w:color="auto"/>
        <w:right w:val="none" w:sz="0" w:space="0" w:color="auto"/>
      </w:divBdr>
    </w:div>
    <w:div w:id="1447850425">
      <w:bodyDiv w:val="1"/>
      <w:marLeft w:val="0"/>
      <w:marRight w:val="0"/>
      <w:marTop w:val="0"/>
      <w:marBottom w:val="0"/>
      <w:divBdr>
        <w:top w:val="none" w:sz="0" w:space="0" w:color="auto"/>
        <w:left w:val="none" w:sz="0" w:space="0" w:color="auto"/>
        <w:bottom w:val="none" w:sz="0" w:space="0" w:color="auto"/>
        <w:right w:val="none" w:sz="0" w:space="0" w:color="auto"/>
      </w:divBdr>
    </w:div>
    <w:div w:id="1688290651">
      <w:bodyDiv w:val="1"/>
      <w:marLeft w:val="0"/>
      <w:marRight w:val="0"/>
      <w:marTop w:val="0"/>
      <w:marBottom w:val="0"/>
      <w:divBdr>
        <w:top w:val="none" w:sz="0" w:space="0" w:color="auto"/>
        <w:left w:val="none" w:sz="0" w:space="0" w:color="auto"/>
        <w:bottom w:val="none" w:sz="0" w:space="0" w:color="auto"/>
        <w:right w:val="none" w:sz="0" w:space="0" w:color="auto"/>
      </w:divBdr>
    </w:div>
    <w:div w:id="1971860544">
      <w:bodyDiv w:val="1"/>
      <w:marLeft w:val="0"/>
      <w:marRight w:val="0"/>
      <w:marTop w:val="0"/>
      <w:marBottom w:val="0"/>
      <w:divBdr>
        <w:top w:val="none" w:sz="0" w:space="0" w:color="auto"/>
        <w:left w:val="none" w:sz="0" w:space="0" w:color="auto"/>
        <w:bottom w:val="none" w:sz="0" w:space="0" w:color="auto"/>
        <w:right w:val="none" w:sz="0" w:space="0" w:color="auto"/>
      </w:divBdr>
    </w:div>
    <w:div w:id="21266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3546</Characters>
  <Application>Microsoft Office Word</Application>
  <DocSecurity>0</DocSecurity>
  <Lines>29</Lines>
  <Paragraphs>8</Paragraphs>
  <ScaleCrop>false</ScaleCrop>
  <Company>mirdc</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3</cp:revision>
  <cp:lastPrinted>2025-03-27T05:11:00Z</cp:lastPrinted>
  <dcterms:created xsi:type="dcterms:W3CDTF">2025-04-30T00:11:00Z</dcterms:created>
  <dcterms:modified xsi:type="dcterms:W3CDTF">2025-04-30T00:17:00Z</dcterms:modified>
</cp:coreProperties>
</file>